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AD4D79" w14:textId="77777777" w:rsidR="00FA7323" w:rsidRPr="003C2BC9" w:rsidRDefault="00FA7323" w:rsidP="00364FB9">
      <w:pPr>
        <w:rPr>
          <w:rFonts w:ascii="Palatino Linotype" w:hAnsi="Palatino Linotype"/>
        </w:rPr>
      </w:pPr>
    </w:p>
    <w:p w14:paraId="7681EBBA" w14:textId="77777777" w:rsidR="00FA7323" w:rsidRPr="003C2BC9" w:rsidRDefault="00FA7323" w:rsidP="00364FB9">
      <w:pPr>
        <w:rPr>
          <w:rFonts w:ascii="Palatino Linotype" w:hAnsi="Palatino Linotype"/>
        </w:rPr>
      </w:pPr>
    </w:p>
    <w:p w14:paraId="713D376D" w14:textId="77777777" w:rsidR="00FA7323" w:rsidRPr="003C2BC9" w:rsidRDefault="00FA7323" w:rsidP="00364FB9">
      <w:pPr>
        <w:rPr>
          <w:rFonts w:ascii="Palatino Linotype" w:hAnsi="Palatino Linotype"/>
        </w:rPr>
      </w:pPr>
    </w:p>
    <w:p w14:paraId="6E80777D" w14:textId="77777777" w:rsidR="00FA7323" w:rsidRPr="003C2BC9" w:rsidRDefault="00FA7323" w:rsidP="00364FB9">
      <w:pPr>
        <w:rPr>
          <w:rFonts w:ascii="Palatino Linotype" w:hAnsi="Palatino Linotype"/>
        </w:rPr>
      </w:pPr>
    </w:p>
    <w:p w14:paraId="5174E1C8" w14:textId="77777777" w:rsidR="00FA7323" w:rsidRPr="003C2BC9" w:rsidRDefault="00FA7323" w:rsidP="00364FB9">
      <w:pPr>
        <w:rPr>
          <w:rFonts w:ascii="Palatino Linotype" w:hAnsi="Palatino Linotype"/>
        </w:rPr>
      </w:pPr>
    </w:p>
    <w:p w14:paraId="20A63428" w14:textId="5C1D93C5" w:rsidR="00745616" w:rsidRPr="003C2BC9" w:rsidRDefault="00745616" w:rsidP="005366D0">
      <w:pPr>
        <w:rPr>
          <w:rFonts w:ascii="Palatino Linotype" w:hAnsi="Palatino Linotype"/>
          <w:lang w:val="en-CA"/>
        </w:rPr>
      </w:pPr>
    </w:p>
    <w:p w14:paraId="1153F918" w14:textId="4653189F" w:rsidR="005366D0" w:rsidRDefault="005366D0" w:rsidP="00364FB9">
      <w:pPr>
        <w:jc w:val="center"/>
        <w:rPr>
          <w:rFonts w:ascii="Palatino Linotype" w:hAnsi="Palatino Linotype"/>
          <w:sz w:val="56"/>
          <w:szCs w:val="46"/>
          <w:lang w:val="en-CA"/>
        </w:rPr>
      </w:pPr>
      <w:r>
        <w:rPr>
          <w:rFonts w:ascii="Palatino Linotype" w:hAnsi="Palatino Linotype"/>
          <w:sz w:val="56"/>
          <w:szCs w:val="46"/>
          <w:lang w:val="en-CA"/>
        </w:rPr>
        <w:t>Reference</w:t>
      </w:r>
      <w:r w:rsidR="00837B82">
        <w:rPr>
          <w:rFonts w:ascii="Palatino Linotype" w:hAnsi="Palatino Linotype"/>
          <w:sz w:val="56"/>
          <w:szCs w:val="46"/>
          <w:lang w:val="en-CA"/>
        </w:rPr>
        <w:t>s</w:t>
      </w:r>
      <w:r>
        <w:rPr>
          <w:rFonts w:ascii="Palatino Linotype" w:hAnsi="Palatino Linotype"/>
          <w:sz w:val="56"/>
          <w:szCs w:val="46"/>
          <w:lang w:val="en-CA"/>
        </w:rPr>
        <w:t xml:space="preserve"> to </w:t>
      </w:r>
      <w:r w:rsidR="00745616" w:rsidRPr="004D18B6">
        <w:rPr>
          <w:rFonts w:ascii="Palatino Linotype" w:hAnsi="Palatino Linotype"/>
          <w:sz w:val="56"/>
          <w:szCs w:val="46"/>
          <w:lang w:val="en-CA"/>
        </w:rPr>
        <w:t xml:space="preserve">Trade </w:t>
      </w:r>
      <w:r>
        <w:rPr>
          <w:rFonts w:ascii="Palatino Linotype" w:hAnsi="Palatino Linotype"/>
          <w:sz w:val="56"/>
          <w:szCs w:val="46"/>
          <w:lang w:val="en-CA"/>
        </w:rPr>
        <w:t>Agreements</w:t>
      </w:r>
    </w:p>
    <w:p w14:paraId="232BAA77" w14:textId="001A7054" w:rsidR="00745616" w:rsidRPr="004D18B6" w:rsidRDefault="00745616" w:rsidP="00364FB9">
      <w:pPr>
        <w:jc w:val="center"/>
        <w:rPr>
          <w:rFonts w:ascii="Palatino Linotype" w:hAnsi="Palatino Linotype"/>
          <w:sz w:val="56"/>
          <w:szCs w:val="46"/>
          <w:lang w:val="en-CA"/>
        </w:rPr>
      </w:pPr>
      <w:r w:rsidRPr="004D18B6">
        <w:rPr>
          <w:rFonts w:ascii="Palatino Linotype" w:hAnsi="Palatino Linotype"/>
          <w:sz w:val="56"/>
          <w:szCs w:val="46"/>
          <w:lang w:val="en-CA"/>
        </w:rPr>
        <w:t xml:space="preserve"> in International Environmental Agreements</w:t>
      </w:r>
    </w:p>
    <w:p w14:paraId="44D9CDCA" w14:textId="77777777" w:rsidR="004D18B6" w:rsidRDefault="004D18B6" w:rsidP="004D18B6">
      <w:pPr>
        <w:autoSpaceDE w:val="0"/>
        <w:autoSpaceDN w:val="0"/>
        <w:adjustRightInd w:val="0"/>
        <w:jc w:val="center"/>
        <w:rPr>
          <w:rFonts w:ascii="Palatino" w:eastAsia="Calibri" w:hAnsi="Palatino"/>
          <w:sz w:val="46"/>
          <w:szCs w:val="32"/>
          <w:lang w:val="en-CA"/>
        </w:rPr>
      </w:pPr>
    </w:p>
    <w:p w14:paraId="0B4B0E57" w14:textId="77777777" w:rsidR="004D18B6" w:rsidRDefault="004D18B6" w:rsidP="00837B82">
      <w:pPr>
        <w:autoSpaceDE w:val="0"/>
        <w:autoSpaceDN w:val="0"/>
        <w:adjustRightInd w:val="0"/>
        <w:rPr>
          <w:rFonts w:ascii="Palatino" w:eastAsia="Calibri" w:hAnsi="Palatino"/>
          <w:sz w:val="46"/>
          <w:szCs w:val="32"/>
          <w:lang w:val="en-CA"/>
        </w:rPr>
      </w:pPr>
    </w:p>
    <w:p w14:paraId="6A75294C" w14:textId="77777777" w:rsidR="004D18B6" w:rsidRDefault="004D18B6" w:rsidP="004D18B6">
      <w:pPr>
        <w:autoSpaceDE w:val="0"/>
        <w:autoSpaceDN w:val="0"/>
        <w:adjustRightInd w:val="0"/>
        <w:jc w:val="center"/>
        <w:rPr>
          <w:rFonts w:ascii="Palatino" w:eastAsia="Calibri" w:hAnsi="Palatino"/>
          <w:sz w:val="46"/>
          <w:szCs w:val="32"/>
          <w:lang w:val="en-CA"/>
        </w:rPr>
      </w:pPr>
    </w:p>
    <w:p w14:paraId="50B8417F" w14:textId="7CE4739C" w:rsidR="004D18B6" w:rsidRDefault="004D18B6" w:rsidP="004D18B6">
      <w:pPr>
        <w:autoSpaceDE w:val="0"/>
        <w:autoSpaceDN w:val="0"/>
        <w:adjustRightInd w:val="0"/>
        <w:jc w:val="center"/>
        <w:rPr>
          <w:rFonts w:ascii="Palatino" w:eastAsia="Calibri" w:hAnsi="Palatino"/>
          <w:sz w:val="46"/>
          <w:szCs w:val="32"/>
          <w:lang w:val="en-CA"/>
        </w:rPr>
      </w:pPr>
    </w:p>
    <w:p w14:paraId="63341E6E" w14:textId="61805E6A" w:rsidR="00837B82" w:rsidRDefault="00837B82" w:rsidP="004D18B6">
      <w:pPr>
        <w:autoSpaceDE w:val="0"/>
        <w:autoSpaceDN w:val="0"/>
        <w:adjustRightInd w:val="0"/>
        <w:jc w:val="center"/>
        <w:rPr>
          <w:rFonts w:ascii="Palatino" w:eastAsia="Calibri" w:hAnsi="Palatino"/>
          <w:sz w:val="46"/>
          <w:szCs w:val="32"/>
          <w:lang w:val="en-CA"/>
        </w:rPr>
      </w:pPr>
    </w:p>
    <w:p w14:paraId="14B2FD66" w14:textId="31AFF352" w:rsidR="00837B82" w:rsidRDefault="00837B82" w:rsidP="004D18B6">
      <w:pPr>
        <w:autoSpaceDE w:val="0"/>
        <w:autoSpaceDN w:val="0"/>
        <w:adjustRightInd w:val="0"/>
        <w:jc w:val="center"/>
        <w:rPr>
          <w:rFonts w:ascii="Palatino" w:eastAsia="Calibri" w:hAnsi="Palatino"/>
          <w:sz w:val="46"/>
          <w:szCs w:val="32"/>
          <w:lang w:val="en-CA"/>
        </w:rPr>
      </w:pPr>
    </w:p>
    <w:p w14:paraId="27E09C91" w14:textId="6EE3369F" w:rsidR="00837B82" w:rsidRDefault="00837B82" w:rsidP="004D18B6">
      <w:pPr>
        <w:autoSpaceDE w:val="0"/>
        <w:autoSpaceDN w:val="0"/>
        <w:adjustRightInd w:val="0"/>
        <w:jc w:val="center"/>
        <w:rPr>
          <w:rFonts w:ascii="Palatino" w:eastAsia="Calibri" w:hAnsi="Palatino"/>
          <w:sz w:val="46"/>
          <w:szCs w:val="32"/>
          <w:lang w:val="en-CA"/>
        </w:rPr>
      </w:pPr>
    </w:p>
    <w:p w14:paraId="1DB36AB3" w14:textId="77777777" w:rsidR="00837B82" w:rsidRPr="00B140C9" w:rsidRDefault="00837B82" w:rsidP="004D18B6">
      <w:pPr>
        <w:autoSpaceDE w:val="0"/>
        <w:autoSpaceDN w:val="0"/>
        <w:adjustRightInd w:val="0"/>
        <w:jc w:val="center"/>
        <w:rPr>
          <w:rFonts w:ascii="Palatino" w:eastAsia="Calibri" w:hAnsi="Palatino"/>
          <w:sz w:val="46"/>
          <w:szCs w:val="32"/>
          <w:lang w:val="en-CA"/>
        </w:rPr>
      </w:pPr>
    </w:p>
    <w:p w14:paraId="47B58532" w14:textId="77777777" w:rsidR="004D18B6" w:rsidRPr="00B140C9" w:rsidRDefault="004D18B6" w:rsidP="004D18B6">
      <w:pPr>
        <w:autoSpaceDE w:val="0"/>
        <w:autoSpaceDN w:val="0"/>
        <w:adjustRightInd w:val="0"/>
        <w:jc w:val="center"/>
        <w:rPr>
          <w:rFonts w:ascii="Palatino" w:eastAsia="Calibri" w:hAnsi="Palatino"/>
          <w:sz w:val="46"/>
          <w:szCs w:val="32"/>
          <w:lang w:val="en-CA"/>
        </w:rPr>
      </w:pPr>
    </w:p>
    <w:p w14:paraId="19C3A3C3" w14:textId="77777777" w:rsidR="004D18B6" w:rsidRPr="00B140C9" w:rsidRDefault="004D18B6" w:rsidP="004D18B6">
      <w:pPr>
        <w:autoSpaceDE w:val="0"/>
        <w:autoSpaceDN w:val="0"/>
        <w:adjustRightInd w:val="0"/>
        <w:jc w:val="center"/>
        <w:rPr>
          <w:rFonts w:ascii="Palatino" w:eastAsia="Calibri" w:hAnsi="Palatino"/>
          <w:sz w:val="46"/>
          <w:szCs w:val="32"/>
          <w:lang w:val="en-CA"/>
        </w:rPr>
      </w:pPr>
      <w:r w:rsidRPr="00B140C9">
        <w:rPr>
          <w:rFonts w:ascii="Palatino" w:eastAsia="Calibri" w:hAnsi="Palatino"/>
          <w:sz w:val="46"/>
          <w:szCs w:val="32"/>
          <w:lang w:val="en-CA"/>
        </w:rPr>
        <w:t xml:space="preserve">Canada Research Chair in </w:t>
      </w:r>
    </w:p>
    <w:p w14:paraId="016E2618" w14:textId="77777777" w:rsidR="004D18B6" w:rsidRPr="00B140C9" w:rsidRDefault="004D18B6" w:rsidP="004D18B6">
      <w:pPr>
        <w:autoSpaceDE w:val="0"/>
        <w:autoSpaceDN w:val="0"/>
        <w:adjustRightInd w:val="0"/>
        <w:jc w:val="center"/>
        <w:rPr>
          <w:rFonts w:ascii="Palatino" w:eastAsia="Calibri" w:hAnsi="Palatino"/>
          <w:sz w:val="46"/>
          <w:szCs w:val="32"/>
          <w:lang w:val="en-CA"/>
        </w:rPr>
      </w:pPr>
      <w:r w:rsidRPr="00B140C9">
        <w:rPr>
          <w:rFonts w:ascii="Palatino" w:eastAsia="Calibri" w:hAnsi="Palatino"/>
          <w:sz w:val="46"/>
          <w:szCs w:val="32"/>
          <w:lang w:val="en-CA"/>
        </w:rPr>
        <w:t>International Political Economy</w:t>
      </w:r>
    </w:p>
    <w:p w14:paraId="79B8074F" w14:textId="77777777" w:rsidR="004D18B6" w:rsidRPr="00D05E3C" w:rsidRDefault="004D18B6" w:rsidP="004D18B6">
      <w:pPr>
        <w:autoSpaceDE w:val="0"/>
        <w:autoSpaceDN w:val="0"/>
        <w:adjustRightInd w:val="0"/>
        <w:jc w:val="center"/>
        <w:rPr>
          <w:rFonts w:ascii="Palatino" w:eastAsia="Calibri" w:hAnsi="Palatino"/>
          <w:sz w:val="46"/>
          <w:szCs w:val="32"/>
          <w:lang w:val="en-CA"/>
        </w:rPr>
      </w:pPr>
      <w:proofErr w:type="spellStart"/>
      <w:r w:rsidRPr="00D05E3C">
        <w:rPr>
          <w:rFonts w:ascii="Palatino" w:eastAsia="Calibri" w:hAnsi="Palatino"/>
          <w:sz w:val="46"/>
          <w:szCs w:val="32"/>
          <w:lang w:val="en-CA"/>
        </w:rPr>
        <w:t>Université</w:t>
      </w:r>
      <w:proofErr w:type="spellEnd"/>
      <w:r w:rsidRPr="00D05E3C">
        <w:rPr>
          <w:rFonts w:ascii="Palatino" w:eastAsia="Calibri" w:hAnsi="Palatino"/>
          <w:sz w:val="46"/>
          <w:szCs w:val="32"/>
          <w:lang w:val="en-CA"/>
        </w:rPr>
        <w:t xml:space="preserve"> Laval, Quebec City, Canada</w:t>
      </w:r>
    </w:p>
    <w:p w14:paraId="23FD626E" w14:textId="77777777" w:rsidR="004D18B6" w:rsidRPr="00D05E3C" w:rsidRDefault="00064988" w:rsidP="004D18B6">
      <w:pPr>
        <w:autoSpaceDE w:val="0"/>
        <w:autoSpaceDN w:val="0"/>
        <w:adjustRightInd w:val="0"/>
        <w:jc w:val="center"/>
        <w:rPr>
          <w:rFonts w:ascii="Palatino" w:eastAsia="Calibri" w:hAnsi="Palatino"/>
          <w:sz w:val="46"/>
          <w:szCs w:val="32"/>
          <w:lang w:val="en-CA"/>
        </w:rPr>
      </w:pPr>
      <w:hyperlink r:id="rId8" w:history="1">
        <w:r w:rsidR="004D18B6" w:rsidRPr="00D05E3C">
          <w:rPr>
            <w:rFonts w:ascii="Palatino" w:eastAsia="Calibri" w:hAnsi="Palatino"/>
            <w:color w:val="0563C1"/>
            <w:sz w:val="46"/>
            <w:szCs w:val="32"/>
            <w:u w:val="single"/>
            <w:lang w:val="en-CA"/>
          </w:rPr>
          <w:t>www.chaire-epi.ulaval.ca/en</w:t>
        </w:r>
      </w:hyperlink>
      <w:r w:rsidR="004D18B6" w:rsidRPr="00D05E3C">
        <w:rPr>
          <w:rFonts w:ascii="Palatino" w:eastAsia="Calibri" w:hAnsi="Palatino"/>
          <w:sz w:val="46"/>
          <w:szCs w:val="32"/>
          <w:lang w:val="en-CA"/>
        </w:rPr>
        <w:t xml:space="preserve"> </w:t>
      </w:r>
    </w:p>
    <w:p w14:paraId="38A10603" w14:textId="77777777" w:rsidR="005366D0" w:rsidRDefault="005366D0">
      <w:pPr>
        <w:rPr>
          <w:rFonts w:ascii="Palatino Linotype" w:hAnsi="Palatino Linotype"/>
          <w:b/>
          <w:sz w:val="28"/>
          <w:szCs w:val="36"/>
          <w:lang w:val="en-CA"/>
        </w:rPr>
      </w:pPr>
      <w:bookmarkStart w:id="0" w:name="_Toc503863097"/>
      <w:bookmarkStart w:id="1" w:name="_Toc503965812"/>
      <w:r>
        <w:rPr>
          <w:rFonts w:ascii="Palatino Linotype" w:hAnsi="Palatino Linotype"/>
          <w:szCs w:val="36"/>
        </w:rPr>
        <w:br w:type="page"/>
      </w:r>
    </w:p>
    <w:bookmarkEnd w:id="0"/>
    <w:bookmarkEnd w:id="1"/>
    <w:p w14:paraId="751FBBBC" w14:textId="77777777" w:rsidR="00414309" w:rsidRDefault="00414309" w:rsidP="00414309">
      <w:pPr>
        <w:pStyle w:val="introduction"/>
        <w:ind w:left="567"/>
      </w:pPr>
    </w:p>
    <w:p w14:paraId="51826CD4" w14:textId="7AC33CBA" w:rsidR="005366D0" w:rsidRDefault="00414309" w:rsidP="005366D0">
      <w:pPr>
        <w:pStyle w:val="titresousnormedites"/>
      </w:pPr>
      <w:bookmarkStart w:id="2" w:name="_Toc484439230"/>
      <w:bookmarkStart w:id="3" w:name="_Toc501098460"/>
      <w:bookmarkStart w:id="4" w:name="_Toc503863098"/>
      <w:bookmarkStart w:id="5" w:name="_Toc503965813"/>
      <w:r w:rsidRPr="00B84DC5">
        <w:t xml:space="preserve">Cooperation with </w:t>
      </w:r>
      <w:r w:rsidR="005366D0">
        <w:t xml:space="preserve">trade-related </w:t>
      </w:r>
      <w:r w:rsidRPr="00B84DC5">
        <w:t>institutions</w:t>
      </w:r>
      <w:bookmarkEnd w:id="2"/>
      <w:bookmarkEnd w:id="3"/>
      <w:bookmarkEnd w:id="4"/>
      <w:bookmarkEnd w:id="5"/>
      <w:r w:rsidRPr="00B84DC5">
        <w:t xml:space="preserve"> </w:t>
      </w:r>
    </w:p>
    <w:p w14:paraId="7D6D910E" w14:textId="133E20F1" w:rsidR="00414309" w:rsidRPr="002D6EC3" w:rsidRDefault="00414309" w:rsidP="00414309">
      <w:pPr>
        <w:pStyle w:val="textenorme"/>
        <w:ind w:left="993" w:hanging="426"/>
      </w:pPr>
      <w:r w:rsidRPr="002D6EC3">
        <w:t>Includes provision</w:t>
      </w:r>
      <w:r>
        <w:t>s that compel or encourage the P</w:t>
      </w:r>
      <w:r w:rsidRPr="002D6EC3">
        <w:t>arties to cooperate with international organizations.</w:t>
      </w:r>
    </w:p>
    <w:p w14:paraId="6F62B9C6" w14:textId="77777777" w:rsidR="00414309" w:rsidRPr="002D6EC3" w:rsidRDefault="00414309" w:rsidP="00414309">
      <w:pPr>
        <w:pStyle w:val="textenorme"/>
        <w:ind w:left="993" w:hanging="426"/>
      </w:pPr>
      <w:r w:rsidRPr="002D6EC3">
        <w:t>Includes provisions that mention the possibility for the institution created to cooperate with other international institutions.</w:t>
      </w:r>
    </w:p>
    <w:p w14:paraId="397DCC27" w14:textId="77777777" w:rsidR="00414309" w:rsidRPr="002D6EC3" w:rsidRDefault="00414309" w:rsidP="00414309">
      <w:pPr>
        <w:pStyle w:val="textenorme"/>
        <w:ind w:left="993" w:hanging="426"/>
      </w:pPr>
      <w:r w:rsidRPr="002D6EC3">
        <w:t>Includes provisions identifying international institutions as a service provid</w:t>
      </w:r>
      <w:r>
        <w:t>er (e.g. secretariat, etc.</w:t>
      </w:r>
      <w:r w:rsidRPr="002D6EC3">
        <w:t>) for the agreement.</w:t>
      </w:r>
    </w:p>
    <w:p w14:paraId="2A0DCB50" w14:textId="77777777" w:rsidR="00414309" w:rsidRDefault="00414309" w:rsidP="00414309">
      <w:pPr>
        <w:pStyle w:val="textenorme"/>
        <w:ind w:left="993" w:hanging="426"/>
      </w:pPr>
      <w:r w:rsidRPr="002D6EC3">
        <w:t>Includes provisions on the participation of other institutions in the meetings/projects of the institution created, or allowing representatives from other institutions on a board/committee of the institution created, except when such an organization (e.g. EC/EU) replaces its member states or acts on their behalf (see also 10.01, 12).</w:t>
      </w:r>
    </w:p>
    <w:p w14:paraId="6E3D790D" w14:textId="77777777" w:rsidR="00414309" w:rsidRPr="002D6EC3" w:rsidRDefault="00414309" w:rsidP="00414309">
      <w:pPr>
        <w:pStyle w:val="textenorme"/>
        <w:ind w:left="993" w:hanging="426"/>
      </w:pPr>
      <w:r>
        <w:t>Cooperation with another international institution can be temporary.</w:t>
      </w:r>
    </w:p>
    <w:p w14:paraId="4759E261" w14:textId="77777777" w:rsidR="00414309" w:rsidRPr="002D6EC3" w:rsidRDefault="00414309" w:rsidP="00414309">
      <w:pPr>
        <w:pStyle w:val="textenorme"/>
        <w:ind w:left="993" w:hanging="426"/>
      </w:pPr>
      <w:r w:rsidRPr="002D6EC3">
        <w:t xml:space="preserve">Reporting or communicating information to an organization is insufficient to establish cooperation (see </w:t>
      </w:r>
      <w:r>
        <w:t>14.07) but the exchange of comments with another organization is considered cooperation.</w:t>
      </w:r>
    </w:p>
    <w:p w14:paraId="36AE261E" w14:textId="77777777" w:rsidR="00414309" w:rsidRPr="002D6EC3" w:rsidRDefault="00414309" w:rsidP="00414309">
      <w:pPr>
        <w:pStyle w:val="textenorme"/>
        <w:ind w:left="993" w:hanging="426"/>
      </w:pPr>
      <w:r w:rsidRPr="002D6EC3">
        <w:t>Excludes provisions on the fact that IOs can become member of the agreement (see 10.01 and/or 14.07).</w:t>
      </w:r>
    </w:p>
    <w:p w14:paraId="51F91115" w14:textId="1CF76655" w:rsidR="00414309" w:rsidRPr="002D6EC3" w:rsidRDefault="00414309" w:rsidP="00414309">
      <w:pPr>
        <w:pStyle w:val="textenorme"/>
        <w:ind w:left="993" w:hanging="426"/>
      </w:pPr>
      <w:r w:rsidRPr="002D6EC3">
        <w:t>Excludes provisions on cooperation through/within (rather than with) an organization</w:t>
      </w:r>
      <w:r w:rsidR="00256D62">
        <w:t>.</w:t>
      </w:r>
    </w:p>
    <w:p w14:paraId="5B1137B5" w14:textId="3954EB9B" w:rsidR="00414309" w:rsidRPr="002D6EC3" w:rsidRDefault="00414309" w:rsidP="00414309">
      <w:pPr>
        <w:pStyle w:val="textenorme"/>
        <w:ind w:left="993" w:hanging="426"/>
      </w:pPr>
      <w:r w:rsidRPr="002D6EC3">
        <w:t>Using data or standards from an organization is not sufficient to establish cooperation.</w:t>
      </w:r>
    </w:p>
    <w:p w14:paraId="3E92F5DE" w14:textId="32E37BCF" w:rsidR="00414309" w:rsidRPr="002D6EC3" w:rsidRDefault="00414309" w:rsidP="00414309">
      <w:pPr>
        <w:pStyle w:val="textenorme"/>
        <w:ind w:left="993" w:hanging="426"/>
      </w:pPr>
      <w:r w:rsidRPr="002D6EC3">
        <w:t>Excludes cooperation with an international tribunal for dispute settlement.</w:t>
      </w:r>
    </w:p>
    <w:p w14:paraId="26EF1AB2" w14:textId="77777777" w:rsidR="00414309" w:rsidRDefault="00414309" w:rsidP="00414309">
      <w:pPr>
        <w:pStyle w:val="textenorme"/>
        <w:ind w:left="993" w:hanging="426"/>
      </w:pPr>
      <w:r w:rsidRPr="002D6EC3">
        <w:t xml:space="preserve">Excludes provisions merely asking other international institutions (not the ones created in the treaty) to cooperate. </w:t>
      </w:r>
    </w:p>
    <w:p w14:paraId="66657410" w14:textId="5AA2F269" w:rsidR="00414309" w:rsidRPr="005366D0" w:rsidRDefault="00414309" w:rsidP="006A5F15">
      <w:pPr>
        <w:pStyle w:val="textenorme"/>
        <w:ind w:left="993" w:hanging="426"/>
      </w:pPr>
      <w:r w:rsidRPr="005366D0">
        <w:t>Excludes provisions dealing with membership/participation of integrated regio</w:t>
      </w:r>
      <w:r w:rsidR="006A5F15" w:rsidRPr="005366D0">
        <w:t xml:space="preserve">nal </w:t>
      </w:r>
      <w:r w:rsidRPr="005366D0">
        <w:t>economic organizations (i.e. EU, EEC) in the institutions created</w:t>
      </w:r>
      <w:bookmarkStart w:id="6" w:name="_GoBack"/>
      <w:bookmarkEnd w:id="6"/>
    </w:p>
    <w:p w14:paraId="6924E039" w14:textId="77777777" w:rsidR="006A5F15" w:rsidRPr="005366D0" w:rsidRDefault="006A5F15" w:rsidP="006A5F15">
      <w:pPr>
        <w:pStyle w:val="textenorme"/>
        <w:numPr>
          <w:ilvl w:val="0"/>
          <w:numId w:val="0"/>
        </w:numPr>
        <w:tabs>
          <w:tab w:val="clear" w:pos="1134"/>
          <w:tab w:val="left" w:pos="993"/>
        </w:tabs>
        <w:ind w:left="1134"/>
      </w:pPr>
    </w:p>
    <w:p w14:paraId="6AF26E04" w14:textId="77777777" w:rsidR="006A5F15" w:rsidRPr="005366D0" w:rsidRDefault="008A0520" w:rsidP="006A5F15">
      <w:pPr>
        <w:pStyle w:val="minimormedites"/>
      </w:pPr>
      <w:r w:rsidRPr="005366D0">
        <w:rPr>
          <w:sz w:val="22"/>
          <w:szCs w:val="22"/>
        </w:rPr>
        <w:tab/>
      </w:r>
      <w:r w:rsidR="006A5F15" w:rsidRPr="005366D0">
        <w:t>14.01.02.01 Cooperation with GATT-WTO</w:t>
      </w:r>
    </w:p>
    <w:p w14:paraId="7173902D" w14:textId="77777777" w:rsidR="006A5F15" w:rsidRPr="008B56DB" w:rsidRDefault="006A5F15" w:rsidP="006A5F15">
      <w:pPr>
        <w:pStyle w:val="textemininorme"/>
        <w:ind w:left="1560" w:hanging="426"/>
      </w:pPr>
      <w:r w:rsidRPr="005366D0">
        <w:t>General Agreement on Tariffs and Trade</w:t>
      </w:r>
      <w:r w:rsidRPr="008B56DB">
        <w:t>, World Trade Organization.</w:t>
      </w:r>
    </w:p>
    <w:p w14:paraId="796F10F2" w14:textId="77777777" w:rsidR="006A5F15" w:rsidRPr="00D05E3C" w:rsidRDefault="006A5F15" w:rsidP="006A5F15">
      <w:pPr>
        <w:pStyle w:val="Sansinterligne"/>
        <w:ind w:left="1560"/>
        <w:rPr>
          <w:lang w:val="en-CA"/>
        </w:rPr>
      </w:pPr>
      <w:bookmarkStart w:id="7" w:name="_bp9unc61swol" w:colFirst="0" w:colLast="0"/>
      <w:bookmarkEnd w:id="7"/>
      <w:r w:rsidRPr="00D05E3C">
        <w:rPr>
          <w:lang w:val="en-CA"/>
        </w:rPr>
        <w:t>1994 International Tropical Timber Agreement, art. 14(1): “The Council shall make arrangements as appropriate for consultations and cooperation with [...] intergovernmental organizations, including the General Agreement on Tariffs and Trade (GATT) [...]”</w:t>
      </w:r>
    </w:p>
    <w:p w14:paraId="34EA04D5" w14:textId="77777777" w:rsidR="006A5F15" w:rsidRPr="002D6EC3" w:rsidRDefault="006A5F15" w:rsidP="006A5F15">
      <w:pPr>
        <w:rPr>
          <w:lang w:val="en-CA"/>
        </w:rPr>
      </w:pPr>
    </w:p>
    <w:p w14:paraId="10C82F08" w14:textId="77777777" w:rsidR="006A5F15" w:rsidRPr="002D6EC3" w:rsidRDefault="006A5F15" w:rsidP="006A5F15">
      <w:pPr>
        <w:pStyle w:val="minimormedites"/>
        <w:tabs>
          <w:tab w:val="clear" w:pos="559"/>
        </w:tabs>
        <w:ind w:firstLine="573"/>
      </w:pPr>
      <w:r>
        <w:t xml:space="preserve">14.01.02.02 </w:t>
      </w:r>
      <w:r w:rsidRPr="002D6EC3">
        <w:t>Cooperation with UNCTAD</w:t>
      </w:r>
    </w:p>
    <w:p w14:paraId="6AC0FC9A" w14:textId="77777777" w:rsidR="006A5F15" w:rsidRPr="002D6EC3" w:rsidRDefault="006A5F15" w:rsidP="006A5F15">
      <w:pPr>
        <w:pStyle w:val="textemininorme"/>
        <w:ind w:left="1560" w:hanging="426"/>
      </w:pPr>
      <w:r w:rsidRPr="002D6EC3">
        <w:t>UN Conference on Trade and Development.</w:t>
      </w:r>
    </w:p>
    <w:p w14:paraId="08A790B7" w14:textId="77777777" w:rsidR="006A5F15" w:rsidRPr="00D05E3C" w:rsidRDefault="006A5F15" w:rsidP="006A5F15">
      <w:pPr>
        <w:pStyle w:val="Sansinterligne"/>
        <w:ind w:left="1560"/>
        <w:rPr>
          <w:lang w:val="en-CA"/>
        </w:rPr>
      </w:pPr>
      <w:bookmarkStart w:id="8" w:name="_drshjb5wwsoq" w:colFirst="0" w:colLast="0"/>
      <w:bookmarkEnd w:id="8"/>
      <w:r w:rsidRPr="00D05E3C">
        <w:rPr>
          <w:lang w:val="en-CA"/>
        </w:rPr>
        <w:t>2006 International Tropical Timber Agreement, art 15(1): “[...] the Council shall make arrangements as appropriate for consultations and cooperation with the United Nations [...] and specialized agencies, including the United Nations Conference on Trade and Development (UNCTAD)“</w:t>
      </w:r>
    </w:p>
    <w:p w14:paraId="1F677E1F" w14:textId="77777777" w:rsidR="006A5F15" w:rsidRPr="002D6EC3" w:rsidRDefault="006A5F15" w:rsidP="006A5F15">
      <w:pPr>
        <w:rPr>
          <w:lang w:val="en-CA"/>
        </w:rPr>
      </w:pPr>
    </w:p>
    <w:p w14:paraId="605E233B" w14:textId="77777777" w:rsidR="006A5F15" w:rsidRPr="002D6EC3" w:rsidRDefault="006A5F15" w:rsidP="006A5F15">
      <w:pPr>
        <w:pStyle w:val="minimormedites"/>
        <w:tabs>
          <w:tab w:val="clear" w:pos="559"/>
        </w:tabs>
        <w:ind w:firstLine="573"/>
      </w:pPr>
      <w:r>
        <w:t xml:space="preserve">14.01.02.03 </w:t>
      </w:r>
      <w:r w:rsidRPr="002D6EC3">
        <w:t>Cooperation with PTAs</w:t>
      </w:r>
    </w:p>
    <w:p w14:paraId="167A8293" w14:textId="77777777" w:rsidR="006A5F15" w:rsidRPr="002D6EC3" w:rsidRDefault="006A5F15" w:rsidP="006A5F15">
      <w:pPr>
        <w:pStyle w:val="textemininorme"/>
        <w:ind w:left="1560" w:hanging="426"/>
      </w:pPr>
      <w:r w:rsidRPr="002D6EC3">
        <w:t>Preferential trade agreements or preferential trade areas.</w:t>
      </w:r>
    </w:p>
    <w:p w14:paraId="74F009B5" w14:textId="77777777" w:rsidR="006A5F15" w:rsidRPr="00780115" w:rsidRDefault="006A5F15" w:rsidP="006A5F15">
      <w:pPr>
        <w:pStyle w:val="textemininorme"/>
        <w:ind w:left="1560" w:hanging="426"/>
        <w:rPr>
          <w:lang w:val="fr-CA"/>
        </w:rPr>
      </w:pPr>
      <w:r w:rsidRPr="00780115">
        <w:rPr>
          <w:lang w:val="fr-CA"/>
        </w:rPr>
        <w:t>e.g. EEC, NAFTA, Mercosur.</w:t>
      </w:r>
    </w:p>
    <w:p w14:paraId="37B14975" w14:textId="77777777" w:rsidR="006A5F15" w:rsidRPr="00D05E3C" w:rsidRDefault="006A5F15" w:rsidP="006A5F15">
      <w:pPr>
        <w:pStyle w:val="Sansinterligne"/>
        <w:ind w:left="1560"/>
        <w:rPr>
          <w:lang w:val="en-CA"/>
        </w:rPr>
      </w:pPr>
      <w:bookmarkStart w:id="9" w:name="_qv6vq34fcoo9" w:colFirst="0" w:colLast="0"/>
      <w:bookmarkEnd w:id="9"/>
      <w:r w:rsidRPr="00D05E3C">
        <w:rPr>
          <w:lang w:val="en-CA"/>
        </w:rPr>
        <w:t>1993 North American Agreement on environmental cooperation, art 10(6): “6. The Council shall cooperate with the NAFTA Free Trade Commission”</w:t>
      </w:r>
    </w:p>
    <w:p w14:paraId="275BEC24" w14:textId="77777777" w:rsidR="006A5F15" w:rsidRPr="002D6EC3" w:rsidRDefault="006A5F15" w:rsidP="006A5F15">
      <w:pPr>
        <w:rPr>
          <w:lang w:val="en-CA"/>
        </w:rPr>
      </w:pPr>
    </w:p>
    <w:p w14:paraId="0C7EE45E" w14:textId="77777777" w:rsidR="006A5F15" w:rsidRPr="002D6EC3" w:rsidRDefault="006A5F15" w:rsidP="006A5F15">
      <w:pPr>
        <w:pStyle w:val="minimormedites"/>
        <w:tabs>
          <w:tab w:val="clear" w:pos="559"/>
        </w:tabs>
        <w:ind w:firstLine="573"/>
      </w:pPr>
      <w:r>
        <w:lastRenderedPageBreak/>
        <w:t xml:space="preserve">14.01.02.04 </w:t>
      </w:r>
      <w:r w:rsidRPr="002D6EC3">
        <w:t>Cooperation with other trade institutions</w:t>
      </w:r>
    </w:p>
    <w:p w14:paraId="7B0BA1F7" w14:textId="77777777" w:rsidR="006A5F15" w:rsidRPr="002D6EC3" w:rsidRDefault="006A5F15" w:rsidP="006A5F15">
      <w:pPr>
        <w:pStyle w:val="textemininorme"/>
        <w:ind w:left="1560" w:hanging="426"/>
      </w:pPr>
      <w:r w:rsidRPr="002D6EC3">
        <w:t>e.g. UN Economic Commissions.</w:t>
      </w:r>
    </w:p>
    <w:p w14:paraId="2FC350FC" w14:textId="399A94AA" w:rsidR="00FA7323" w:rsidRPr="007F5F2C" w:rsidRDefault="006A5F15" w:rsidP="005366D0">
      <w:pPr>
        <w:pStyle w:val="Sansinterligne"/>
        <w:ind w:left="1560"/>
        <w:rPr>
          <w:lang w:val="en-CA"/>
        </w:rPr>
      </w:pPr>
      <w:r w:rsidRPr="00D05E3C">
        <w:rPr>
          <w:lang w:val="en-CA"/>
        </w:rPr>
        <w:t>2002 Framework Agreement on the Sava River Basin, art 5: “In realization of this Agreement, the Parties shall especially cooperate with: (…) The United Nations Economic Commission for Europe (UN-ECE).”</w:t>
      </w:r>
    </w:p>
    <w:p w14:paraId="16FC352E" w14:textId="77777777" w:rsidR="00FA7323" w:rsidRPr="003C2BC9" w:rsidRDefault="00FA7323" w:rsidP="00364FB9">
      <w:pPr>
        <w:rPr>
          <w:rFonts w:ascii="Palatino Linotype" w:hAnsi="Palatino Linotype"/>
          <w:lang w:val="en-CA"/>
        </w:rPr>
      </w:pPr>
      <w:bookmarkStart w:id="10" w:name="_bskvgu7cxqyc" w:colFirst="0" w:colLast="0"/>
      <w:bookmarkEnd w:id="10"/>
    </w:p>
    <w:p w14:paraId="1E0CE3FA" w14:textId="67D307F8" w:rsidR="001B1BB2" w:rsidRPr="002D6EC3" w:rsidRDefault="005366D0" w:rsidP="001B1BB2">
      <w:pPr>
        <w:pStyle w:val="titresousnormedites"/>
      </w:pPr>
      <w:bookmarkStart w:id="11" w:name="_9ihuu4hxfi2e" w:colFirst="0" w:colLast="0"/>
      <w:bookmarkStart w:id="12" w:name="_Toc484439235"/>
      <w:bookmarkStart w:id="13" w:name="_Toc501098465"/>
      <w:bookmarkStart w:id="14" w:name="_Toc503965816"/>
      <w:bookmarkEnd w:id="11"/>
      <w:r>
        <w:t xml:space="preserve">14.02.02 </w:t>
      </w:r>
      <w:r w:rsidR="001B1BB2" w:rsidRPr="002D6EC3">
        <w:t xml:space="preserve">Implementation of </w:t>
      </w:r>
      <w:r>
        <w:t>trade-related</w:t>
      </w:r>
      <w:r w:rsidR="001B1BB2" w:rsidRPr="002D6EC3">
        <w:t xml:space="preserve"> agreements</w:t>
      </w:r>
      <w:bookmarkEnd w:id="12"/>
      <w:bookmarkEnd w:id="13"/>
      <w:bookmarkEnd w:id="14"/>
    </w:p>
    <w:p w14:paraId="6F92B899" w14:textId="77777777" w:rsidR="001B1BB2" w:rsidRPr="002D6EC3" w:rsidRDefault="001B1BB2" w:rsidP="001B1BB2">
      <w:pPr>
        <w:pStyle w:val="textenorme"/>
        <w:ind w:left="993" w:hanging="426"/>
      </w:pPr>
      <w:r w:rsidRPr="002D6EC3">
        <w:t>Includes provisions that incorporate the obligations of cited agreement.</w:t>
      </w:r>
    </w:p>
    <w:p w14:paraId="6AC0AA0F" w14:textId="77777777" w:rsidR="001B1BB2" w:rsidRPr="002D6EC3" w:rsidRDefault="001B1BB2" w:rsidP="001B1BB2">
      <w:pPr>
        <w:pStyle w:val="textenorme"/>
        <w:ind w:left="993" w:hanging="426"/>
      </w:pPr>
      <w:r w:rsidRPr="002D6EC3">
        <w:t>Includes commitments to implement the complete agreement or only some of its substantive obligations.</w:t>
      </w:r>
    </w:p>
    <w:p w14:paraId="7C48F19D" w14:textId="77777777" w:rsidR="001B1BB2" w:rsidRPr="002D6EC3" w:rsidRDefault="001B1BB2" w:rsidP="001B1BB2">
      <w:pPr>
        <w:pStyle w:val="textenorme"/>
        <w:ind w:left="993" w:hanging="426"/>
      </w:pPr>
      <w:r w:rsidRPr="002D6EC3">
        <w:t>Includes wordings such as “reaffirm their commitment to implement X”, “reconfirm their obligations under X”, “reiterate their commitments as established by X”, “recognize that the implementation of X is critical or important”, “ensure that their laws and practices are in harmony with X”, “should be guided by the obligations of X”, “should adopt laws in line with X”, “have the intention to fulfill its obligation under X”, “shall adopt laws to fulfill its obligations under X”, “reaffirm their rights and obligations under X”.</w:t>
      </w:r>
    </w:p>
    <w:p w14:paraId="156A1105" w14:textId="77777777" w:rsidR="001B1BB2" w:rsidRPr="002D6EC3" w:rsidRDefault="001B1BB2" w:rsidP="001B1BB2">
      <w:pPr>
        <w:pStyle w:val="textenorme"/>
        <w:ind w:left="993" w:hanging="426"/>
      </w:pPr>
      <w:r w:rsidRPr="002D6EC3">
        <w:t>“Recalling”, “recognizing” or “considering” the obligations of agreement, “affirming the importance of an agreement” or “acknowledging the adoption of an agreement” is not sufficient to be considered as a commitment to implement (see 14.07).</w:t>
      </w:r>
    </w:p>
    <w:p w14:paraId="211B9F65" w14:textId="77777777" w:rsidR="001B1BB2" w:rsidRPr="002D6EC3" w:rsidRDefault="001B1BB2" w:rsidP="001B1BB2">
      <w:pPr>
        <w:pStyle w:val="textenorme"/>
        <w:ind w:left="993" w:hanging="426"/>
      </w:pPr>
      <w:r w:rsidRPr="002D6EC3">
        <w:t>Referring only to definitions found in an agreement or referring only to</w:t>
      </w:r>
      <w:r>
        <w:t xml:space="preserve"> the objectives of an agreement</w:t>
      </w:r>
      <w:r w:rsidRPr="002D6EC3">
        <w:t xml:space="preserve"> is not sufficient, as they are not “substantive obligations”.</w:t>
      </w:r>
    </w:p>
    <w:p w14:paraId="3BBEB078" w14:textId="77777777" w:rsidR="001B1BB2" w:rsidRPr="002D6EC3" w:rsidRDefault="001B1BB2" w:rsidP="001B1BB2">
      <w:pPr>
        <w:pStyle w:val="textenorme"/>
        <w:ind w:left="993" w:hanging="426"/>
      </w:pPr>
      <w:r w:rsidRPr="002D6EC3">
        <w:t>Excludes obligation or commitment to accede, join or ratify a specific agreement (see 14.05).</w:t>
      </w:r>
    </w:p>
    <w:p w14:paraId="1D84D013" w14:textId="77777777" w:rsidR="001B1BB2" w:rsidRPr="002D6EC3" w:rsidRDefault="001B1BB2" w:rsidP="001B1BB2">
      <w:pPr>
        <w:pStyle w:val="textenorme"/>
        <w:ind w:left="993" w:hanging="426"/>
      </w:pPr>
      <w:r w:rsidRPr="002D6EC3">
        <w:t>Excluded if implementation of political declaration or domestic decrees (not “international agreements”).</w:t>
      </w:r>
    </w:p>
    <w:p w14:paraId="66D54B8F" w14:textId="77777777" w:rsidR="001B1BB2" w:rsidRPr="002D6EC3" w:rsidRDefault="001B1BB2" w:rsidP="001B1BB2">
      <w:pPr>
        <w:pStyle w:val="textenorme"/>
        <w:ind w:left="993" w:hanging="426"/>
      </w:pPr>
      <w:r w:rsidRPr="002D6EC3">
        <w:t>Excludes provisions on respecting EU law (Community law) (excluded when in a context where it is equivalent to national law).</w:t>
      </w:r>
    </w:p>
    <w:p w14:paraId="1FC09DB8" w14:textId="77777777" w:rsidR="001B1BB2" w:rsidRPr="002D6EC3" w:rsidRDefault="001B1BB2" w:rsidP="001B1BB2">
      <w:pPr>
        <w:pStyle w:val="textenorme"/>
        <w:ind w:left="993" w:hanging="426"/>
      </w:pPr>
      <w:r w:rsidRPr="002D6EC3">
        <w:t>Excludes, when an agreement is amending another agreement (or when considering such an eventuality), mere references to amendment clauses in the original agreement - amending an agreement involves “applying” the rules on how to amend the agreement, but not “implementing” the substance of the agreement itself (see 14.07 and/or 9.07).</w:t>
      </w:r>
    </w:p>
    <w:p w14:paraId="3B6F5D7B" w14:textId="77777777" w:rsidR="001B1BB2" w:rsidRPr="002D6EC3" w:rsidRDefault="001B1BB2" w:rsidP="001B1BB2">
      <w:pPr>
        <w:pStyle w:val="textenorme"/>
        <w:ind w:left="993" w:hanging="426"/>
      </w:pPr>
      <w:r>
        <w:t>Excludes provisions inviting P</w:t>
      </w:r>
      <w:r w:rsidRPr="002D6EC3">
        <w:t>arties (or ships, or companies, or whatever) to apply decisions</w:t>
      </w:r>
      <w:r>
        <w:t xml:space="preserve"> </w:t>
      </w:r>
      <w:r w:rsidRPr="002D6EC3">
        <w:t>/</w:t>
      </w:r>
      <w:r>
        <w:t xml:space="preserve"> </w:t>
      </w:r>
      <w:r w:rsidRPr="002D6EC3">
        <w:t>norms</w:t>
      </w:r>
      <w:r>
        <w:t xml:space="preserve"> </w:t>
      </w:r>
      <w:r w:rsidRPr="002D6EC3">
        <w:t>/</w:t>
      </w:r>
      <w:r>
        <w:t xml:space="preserve"> </w:t>
      </w:r>
      <w:r w:rsidRPr="002D6EC3">
        <w:t>standards</w:t>
      </w:r>
      <w:r>
        <w:t xml:space="preserve"> </w:t>
      </w:r>
      <w:r w:rsidRPr="002D6EC3">
        <w:t>/</w:t>
      </w:r>
      <w:r>
        <w:t xml:space="preserve"> </w:t>
      </w:r>
      <w:r w:rsidRPr="002D6EC3">
        <w:t>regulations decided by international bodies</w:t>
      </w:r>
      <w:r>
        <w:t xml:space="preserve"> </w:t>
      </w:r>
      <w:r w:rsidRPr="002D6EC3">
        <w:t>/</w:t>
      </w:r>
      <w:r>
        <w:t xml:space="preserve"> </w:t>
      </w:r>
      <w:r w:rsidRPr="002D6EC3">
        <w:t>agencies</w:t>
      </w:r>
      <w:r>
        <w:t xml:space="preserve"> </w:t>
      </w:r>
      <w:r w:rsidRPr="002D6EC3">
        <w:t>/</w:t>
      </w:r>
      <w:r>
        <w:t xml:space="preserve"> </w:t>
      </w:r>
      <w:r w:rsidRPr="002D6EC3">
        <w:t>commissions, as these are not “agreements” being implemented (see 14.07).</w:t>
      </w:r>
    </w:p>
    <w:p w14:paraId="3A621605" w14:textId="77777777" w:rsidR="001B1BB2" w:rsidRPr="002D6EC3" w:rsidRDefault="001B1BB2" w:rsidP="001B1BB2">
      <w:pPr>
        <w:pStyle w:val="textenorme"/>
        <w:ind w:left="993" w:hanging="426"/>
      </w:pPr>
      <w:r w:rsidRPr="002D6EC3">
        <w:t>Excludes procedural aspects (e.g.</w:t>
      </w:r>
      <w:r>
        <w:t xml:space="preserve"> entry into force, notification</w:t>
      </w:r>
      <w:r w:rsidRPr="002D6EC3">
        <w:t>) of amendment resolutions adopted by international bodies</w:t>
      </w:r>
      <w:r>
        <w:t xml:space="preserve"> </w:t>
      </w:r>
      <w:r w:rsidRPr="002D6EC3">
        <w:t>/</w:t>
      </w:r>
      <w:r>
        <w:t xml:space="preserve"> </w:t>
      </w:r>
      <w:r w:rsidRPr="002D6EC3">
        <w:t>commissions to amend an agreement (e.g. MARPOL and CITES amendments) (see 14.07).</w:t>
      </w:r>
    </w:p>
    <w:p w14:paraId="5FF38B97" w14:textId="77777777" w:rsidR="001B1BB2" w:rsidRPr="002D6EC3" w:rsidRDefault="001B1BB2" w:rsidP="001B1BB2">
      <w:pPr>
        <w:pStyle w:val="textenorme"/>
        <w:ind w:left="993" w:hanging="426"/>
      </w:pPr>
      <w:r w:rsidRPr="002D6EC3">
        <w:t>Excludes provisions merely extending in time the application of an agreement, or renewing it (see 8.04).</w:t>
      </w:r>
    </w:p>
    <w:p w14:paraId="267356FB" w14:textId="77777777" w:rsidR="005366D0" w:rsidRDefault="001B1BB2" w:rsidP="005366D0">
      <w:pPr>
        <w:pStyle w:val="textenorme"/>
        <w:ind w:left="993" w:hanging="426"/>
      </w:pPr>
      <w:r w:rsidRPr="002D6EC3">
        <w:t>Excludes provisions referring to rules of procedure in another agreement for application within a newly created organization (see 14.07).</w:t>
      </w:r>
    </w:p>
    <w:p w14:paraId="3C3111FE" w14:textId="65B33133" w:rsidR="00FA7323" w:rsidRPr="00862489" w:rsidRDefault="008A0520" w:rsidP="005366D0">
      <w:pPr>
        <w:pStyle w:val="textenorme"/>
        <w:ind w:left="993" w:hanging="426"/>
      </w:pPr>
      <w:r w:rsidRPr="00862489">
        <w:t>2001 Convention of the African Energy Commission, preamble: “Reaffirming the provisions of the Treaty Establishing the African Economic Community.”</w:t>
      </w:r>
    </w:p>
    <w:p w14:paraId="219DF544" w14:textId="77777777" w:rsidR="00FA7323" w:rsidRPr="003C2BC9" w:rsidRDefault="00FA7323" w:rsidP="00364FB9">
      <w:pPr>
        <w:rPr>
          <w:rFonts w:ascii="Palatino Linotype" w:hAnsi="Palatino Linotype"/>
          <w:highlight w:val="white"/>
          <w:lang w:val="en-CA"/>
        </w:rPr>
      </w:pPr>
    </w:p>
    <w:p w14:paraId="3F328F6C" w14:textId="65686517" w:rsidR="001B1BB2" w:rsidRPr="002D6EC3" w:rsidRDefault="005366D0" w:rsidP="001B1BB2">
      <w:pPr>
        <w:pStyle w:val="titresousnormedites"/>
      </w:pPr>
      <w:bookmarkStart w:id="15" w:name="_Toc484439240"/>
      <w:bookmarkStart w:id="16" w:name="_Toc501098470"/>
      <w:bookmarkStart w:id="17" w:name="_Toc503965818"/>
      <w:r>
        <w:lastRenderedPageBreak/>
        <w:t xml:space="preserve">14.03.02 </w:t>
      </w:r>
      <w:r w:rsidR="001B1BB2" w:rsidRPr="002D6EC3">
        <w:t xml:space="preserve">Prevalence of </w:t>
      </w:r>
      <w:r>
        <w:t>trade</w:t>
      </w:r>
      <w:r w:rsidR="001B1BB2" w:rsidRPr="002D6EC3">
        <w:t xml:space="preserve"> agreements</w:t>
      </w:r>
      <w:bookmarkEnd w:id="15"/>
      <w:bookmarkEnd w:id="16"/>
      <w:bookmarkEnd w:id="17"/>
    </w:p>
    <w:p w14:paraId="11B5037F" w14:textId="77777777" w:rsidR="001B1BB2" w:rsidRPr="002D6EC3" w:rsidRDefault="001B1BB2" w:rsidP="001B1BB2">
      <w:pPr>
        <w:pStyle w:val="textenorme"/>
        <w:ind w:left="993" w:hanging="426"/>
      </w:pPr>
      <w:r w:rsidRPr="002D6EC3">
        <w:t xml:space="preserve">Refers to the prevalence of an agreement (or only some of </w:t>
      </w:r>
      <w:r>
        <w:t>its</w:t>
      </w:r>
      <w:r w:rsidRPr="002D6EC3">
        <w:t xml:space="preserve"> obligations) over the environmental agreement (o</w:t>
      </w:r>
      <w:r>
        <w:t>r only some of its obligations)</w:t>
      </w:r>
      <w:r w:rsidRPr="002D6EC3">
        <w:t xml:space="preserve"> in case of conflict or inconsistency. </w:t>
      </w:r>
    </w:p>
    <w:p w14:paraId="6853C9C5" w14:textId="77777777" w:rsidR="001B1BB2" w:rsidRPr="002D6EC3" w:rsidRDefault="001B1BB2" w:rsidP="001B1BB2">
      <w:pPr>
        <w:pStyle w:val="textenorme"/>
        <w:ind w:left="993" w:hanging="426"/>
      </w:pPr>
      <w:r w:rsidRPr="002D6EC3">
        <w:t xml:space="preserve">The prevalence can be conditional. </w:t>
      </w:r>
    </w:p>
    <w:p w14:paraId="717071F7" w14:textId="77777777" w:rsidR="001B1BB2" w:rsidRPr="002D6EC3" w:rsidRDefault="001B1BB2" w:rsidP="001B1BB2">
      <w:pPr>
        <w:pStyle w:val="textenorme"/>
        <w:ind w:left="993" w:hanging="426"/>
      </w:pPr>
      <w:r w:rsidRPr="002D6EC3">
        <w:t>Is considered as prevalence of agreements: “In the event of any inconsistency between a Party’s obligations under this Agreement and X other agreement, the Party shall seek to balance its obligations under both agreements, but this shall not preclude the Party from taking a particular measure to comply with its obligations under the other agreement”.</w:t>
      </w:r>
    </w:p>
    <w:p w14:paraId="01D1040D" w14:textId="77777777" w:rsidR="001B1BB2" w:rsidRPr="002D6EC3" w:rsidRDefault="001B1BB2" w:rsidP="001B1BB2">
      <w:pPr>
        <w:pStyle w:val="textenorme"/>
        <w:ind w:left="993" w:hanging="426"/>
      </w:pPr>
      <w:r w:rsidRPr="002D6EC3">
        <w:t>Is considered as prevalence: “nothing in this agreement shall be constructed to affect the existing rights and obligations of the Parties</w:t>
      </w:r>
      <w:r>
        <w:t xml:space="preserve"> under the other agreement X” (t</w:t>
      </w:r>
      <w:r w:rsidRPr="002D6EC3">
        <w:t xml:space="preserve">his guides the interpretation of the current agreement but not the interpretation of the other agreement = asymmetric interpretation). </w:t>
      </w:r>
    </w:p>
    <w:p w14:paraId="4A9508D1" w14:textId="77777777" w:rsidR="001B1BB2" w:rsidRPr="002D6EC3" w:rsidRDefault="001B1BB2" w:rsidP="001B1BB2">
      <w:pPr>
        <w:pStyle w:val="textenorme"/>
        <w:ind w:left="993" w:hanging="426"/>
      </w:pPr>
      <w:r w:rsidRPr="002D6EC3">
        <w:t xml:space="preserve">A statement that is symmetric, claiming that two treaties are compatible, are not in conflict or that do not prevent the implementation of each other is not a statement on the prevalence. </w:t>
      </w:r>
    </w:p>
    <w:p w14:paraId="52800634" w14:textId="77777777" w:rsidR="001B1BB2" w:rsidRPr="002D6EC3" w:rsidRDefault="001B1BB2" w:rsidP="001B1BB2">
      <w:pPr>
        <w:pStyle w:val="textenorme"/>
        <w:ind w:left="993" w:hanging="426"/>
      </w:pPr>
      <w:r w:rsidRPr="002D6EC3">
        <w:t>Excluded if implementation of political declaration or domestic decrees (not “international agreements”).</w:t>
      </w:r>
    </w:p>
    <w:p w14:paraId="0A216954" w14:textId="5D0E6A61" w:rsidR="005366D0" w:rsidRDefault="001B1BB2" w:rsidP="005366D0">
      <w:pPr>
        <w:pStyle w:val="textenorme"/>
        <w:ind w:left="993" w:hanging="426"/>
      </w:pPr>
      <w:r w:rsidRPr="002D6EC3">
        <w:t>Ignore statement</w:t>
      </w:r>
      <w:r w:rsidR="00837B82">
        <w:t>s</w:t>
      </w:r>
      <w:r w:rsidRPr="002D6EC3">
        <w:t xml:space="preserve"> on the absence of hierarchy between agreements, as there can nevertheless be an interpretive prevalence.</w:t>
      </w:r>
      <w:bookmarkStart w:id="18" w:name="_3kkl7fh" w:colFirst="0" w:colLast="0"/>
      <w:bookmarkEnd w:id="18"/>
    </w:p>
    <w:p w14:paraId="7208000C" w14:textId="4948D508" w:rsidR="00862489" w:rsidRPr="00862489" w:rsidRDefault="00862489" w:rsidP="005366D0">
      <w:pPr>
        <w:pStyle w:val="textenorme"/>
        <w:ind w:left="993" w:hanging="426"/>
      </w:pPr>
      <w:r>
        <w:t>1994 Energy Charter Treaty, art</w:t>
      </w:r>
      <w:r w:rsidRPr="002D6EC3">
        <w:t xml:space="preserve"> 4: “Nothing in this Treaty shall derogate, as between particular Contracting Parties which are parties to the GATT, from the provisions of the GATT and Related Instruments as they are applied between those Contracting Parties.”</w:t>
      </w:r>
    </w:p>
    <w:p w14:paraId="782278F0" w14:textId="77777777" w:rsidR="00FA7323" w:rsidRPr="00862489" w:rsidRDefault="00FA7323" w:rsidP="00364FB9">
      <w:pPr>
        <w:rPr>
          <w:rFonts w:ascii="Palatino Linotype" w:hAnsi="Palatino Linotype"/>
          <w:highlight w:val="white"/>
          <w:lang w:val="en-US"/>
        </w:rPr>
      </w:pPr>
    </w:p>
    <w:p w14:paraId="7F0A52B8" w14:textId="627F01E0" w:rsidR="00862489" w:rsidRPr="002D6EC3" w:rsidRDefault="00862489" w:rsidP="00862489">
      <w:pPr>
        <w:pStyle w:val="titresousnormedites"/>
      </w:pPr>
      <w:bookmarkStart w:id="19" w:name="_Toc484439249"/>
      <w:bookmarkStart w:id="20" w:name="_Toc501098479"/>
      <w:bookmarkStart w:id="21" w:name="_Toc503965820"/>
      <w:r>
        <w:t>14.05</w:t>
      </w:r>
      <w:r w:rsidR="005366D0">
        <w:t>.02</w:t>
      </w:r>
      <w:r>
        <w:t xml:space="preserve">   </w:t>
      </w:r>
      <w:r w:rsidRPr="002D6EC3">
        <w:t xml:space="preserve">Accession or ratification </w:t>
      </w:r>
      <w:r w:rsidR="005366D0">
        <w:t>to</w:t>
      </w:r>
      <w:r w:rsidRPr="002D6EC3">
        <w:t xml:space="preserve"> </w:t>
      </w:r>
      <w:r w:rsidR="005366D0">
        <w:t xml:space="preserve">trade </w:t>
      </w:r>
      <w:r w:rsidRPr="002D6EC3">
        <w:t>agreements</w:t>
      </w:r>
      <w:bookmarkEnd w:id="19"/>
      <w:bookmarkEnd w:id="20"/>
      <w:bookmarkEnd w:id="21"/>
    </w:p>
    <w:p w14:paraId="4A145ADF" w14:textId="77777777" w:rsidR="00862489" w:rsidRPr="002D6EC3" w:rsidRDefault="00862489" w:rsidP="00862489">
      <w:pPr>
        <w:pStyle w:val="textenorme"/>
        <w:ind w:left="993" w:hanging="426"/>
      </w:pPr>
      <w:r w:rsidRPr="002D6EC3">
        <w:t>Includes obligation or commitment to accede, join or ratify a specific agreement.</w:t>
      </w:r>
    </w:p>
    <w:p w14:paraId="09EF0AEF" w14:textId="77777777" w:rsidR="00862489" w:rsidRPr="002D6EC3" w:rsidRDefault="00862489" w:rsidP="00862489">
      <w:pPr>
        <w:pStyle w:val="textenorme"/>
        <w:ind w:left="993" w:hanging="426"/>
      </w:pPr>
      <w:r w:rsidRPr="002D6EC3">
        <w:t>I</w:t>
      </w:r>
      <w:r>
        <w:t>ncludes the obligation to be a P</w:t>
      </w:r>
      <w:r w:rsidRPr="002D6EC3">
        <w:t>arty of another agreem</w:t>
      </w:r>
      <w:r>
        <w:t>ent when a state wants to be a P</w:t>
      </w:r>
      <w:r w:rsidRPr="002D6EC3">
        <w:t>arty of an agreement.</w:t>
      </w:r>
    </w:p>
    <w:p w14:paraId="32833835" w14:textId="77777777" w:rsidR="00862489" w:rsidRPr="002D6EC3" w:rsidRDefault="00862489" w:rsidP="00862489">
      <w:pPr>
        <w:pStyle w:val="textenorme"/>
        <w:ind w:left="993" w:hanging="426"/>
      </w:pPr>
      <w:r w:rsidRPr="002D6EC3">
        <w:t xml:space="preserve">Includes if being a </w:t>
      </w:r>
      <w:r>
        <w:t>P</w:t>
      </w:r>
      <w:r w:rsidRPr="002D6EC3">
        <w:t xml:space="preserve">arty to this ‘other agreement’ is just one of several </w:t>
      </w:r>
      <w:r>
        <w:t>ways to qualify for becoming a P</w:t>
      </w:r>
      <w:r w:rsidRPr="002D6EC3">
        <w:t>arty to the agreement.</w:t>
      </w:r>
    </w:p>
    <w:p w14:paraId="6F102ABC" w14:textId="77777777" w:rsidR="00862489" w:rsidRPr="002D6EC3" w:rsidRDefault="00862489" w:rsidP="00862489">
      <w:pPr>
        <w:pStyle w:val="textenorme"/>
        <w:ind w:left="993" w:hanging="426"/>
      </w:pPr>
      <w:r w:rsidRPr="002D6EC3">
        <w:t>Include</w:t>
      </w:r>
      <w:r>
        <w:t>s provisions stating that only P</w:t>
      </w:r>
      <w:r w:rsidRPr="002D6EC3">
        <w:t>arties to</w:t>
      </w:r>
      <w:r>
        <w:t xml:space="preserve"> the main agreement can become P</w:t>
      </w:r>
      <w:r w:rsidRPr="002D6EC3">
        <w:t xml:space="preserve">arty to a protocol. </w:t>
      </w:r>
    </w:p>
    <w:p w14:paraId="5A445433" w14:textId="77777777" w:rsidR="00862489" w:rsidRPr="002D6EC3" w:rsidRDefault="00862489" w:rsidP="00862489">
      <w:pPr>
        <w:pStyle w:val="textenorme"/>
        <w:ind w:left="993" w:hanging="426"/>
      </w:pPr>
      <w:r w:rsidRPr="002D6EC3">
        <w:t>In</w:t>
      </w:r>
      <w:r>
        <w:t>cludes provisions stating that P</w:t>
      </w:r>
      <w:r w:rsidRPr="002D6EC3">
        <w:t>arties withdrawing from another agreement will be presumed having withdrawn from this agreement (or vice versa) (e.g. main agreement / protocol).</w:t>
      </w:r>
    </w:p>
    <w:p w14:paraId="0A5F0392" w14:textId="77777777" w:rsidR="00862489" w:rsidRPr="002D6EC3" w:rsidRDefault="00862489" w:rsidP="00862489">
      <w:pPr>
        <w:pStyle w:val="textenorme"/>
        <w:ind w:left="993" w:hanging="426"/>
      </w:pPr>
      <w:r w:rsidRPr="002D6EC3">
        <w:t xml:space="preserve">Excludes provisions merely stating that any member of a universal organization (e.g. </w:t>
      </w:r>
      <w:r>
        <w:t>UN, FAO, ICJ, IAEA, UNESCO) or P</w:t>
      </w:r>
      <w:r w:rsidRPr="002D6EC3">
        <w:t>arty to a universal treaty (e.g. UN Ch</w:t>
      </w:r>
      <w:r>
        <w:t>arter, ICJ Statute) can become P</w:t>
      </w:r>
      <w:r w:rsidRPr="002D6EC3">
        <w:t>arty to the agreement (see 10.01, 14.07</w:t>
      </w:r>
      <w:r>
        <w:t>, etc.</w:t>
      </w:r>
      <w:r w:rsidRPr="002D6EC3">
        <w:t>).</w:t>
      </w:r>
    </w:p>
    <w:p w14:paraId="7A189FBF" w14:textId="77777777" w:rsidR="00862489" w:rsidRPr="002D6EC3" w:rsidRDefault="00862489" w:rsidP="00862489">
      <w:pPr>
        <w:pStyle w:val="textenorme"/>
        <w:ind w:left="993" w:hanging="426"/>
      </w:pPr>
      <w:r w:rsidRPr="002D6EC3">
        <w:t>Exclude</w:t>
      </w:r>
      <w:r>
        <w:t>s provisions stating that only s</w:t>
      </w:r>
      <w:r w:rsidRPr="002D6EC3">
        <w:t>tates from a particular region</w:t>
      </w:r>
      <w:r>
        <w:t xml:space="preserve"> </w:t>
      </w:r>
      <w:r w:rsidRPr="002D6EC3">
        <w:t>/</w:t>
      </w:r>
      <w:r>
        <w:t xml:space="preserve"> </w:t>
      </w:r>
      <w:r w:rsidRPr="002D6EC3">
        <w:t>grouping</w:t>
      </w:r>
      <w:r>
        <w:t xml:space="preserve"> </w:t>
      </w:r>
      <w:r w:rsidRPr="002D6EC3">
        <w:t>/</w:t>
      </w:r>
      <w:r>
        <w:t xml:space="preserve"> </w:t>
      </w:r>
      <w:r w:rsidRPr="002D6EC3">
        <w:t>organization can become parties to this agreement, if it does not in</w:t>
      </w:r>
      <w:r>
        <w:t>volve being P</w:t>
      </w:r>
      <w:r w:rsidRPr="002D6EC3">
        <w:t xml:space="preserve">arty to some specific </w:t>
      </w:r>
      <w:r w:rsidRPr="00862489">
        <w:t>other agreement</w:t>
      </w:r>
      <w:r w:rsidRPr="002D6EC3">
        <w:t xml:space="preserve"> (see 10.01, 14.07).</w:t>
      </w:r>
    </w:p>
    <w:p w14:paraId="1DB56CEE" w14:textId="77777777" w:rsidR="00862489" w:rsidRPr="002D6EC3" w:rsidRDefault="00862489" w:rsidP="00862489">
      <w:pPr>
        <w:pStyle w:val="textenorme"/>
        <w:ind w:left="993" w:hanging="426"/>
      </w:pPr>
      <w:r w:rsidRPr="002D6EC3">
        <w:t>Excludes provisions creating exceptions from restrictive membership rules (e.g. ‘states that are not parties to agreement X can also become parties if Y’).</w:t>
      </w:r>
    </w:p>
    <w:p w14:paraId="6ED59A5A" w14:textId="77777777" w:rsidR="005366D0" w:rsidRDefault="00862489" w:rsidP="005366D0">
      <w:pPr>
        <w:pStyle w:val="textenorme"/>
        <w:ind w:left="993" w:hanging="426"/>
      </w:pPr>
      <w:r w:rsidRPr="002D6EC3">
        <w:t>To be distinguished from obligation</w:t>
      </w:r>
      <w:r>
        <w:t xml:space="preserve"> </w:t>
      </w:r>
      <w:r w:rsidRPr="002D6EC3">
        <w:t>/</w:t>
      </w:r>
      <w:r>
        <w:t xml:space="preserve"> </w:t>
      </w:r>
      <w:r w:rsidRPr="002D6EC3">
        <w:t>commitment to negotiate other</w:t>
      </w:r>
      <w:r>
        <w:t xml:space="preserve"> </w:t>
      </w:r>
      <w:r w:rsidRPr="002D6EC3">
        <w:t>/</w:t>
      </w:r>
      <w:r>
        <w:t xml:space="preserve"> </w:t>
      </w:r>
      <w:r w:rsidRPr="002D6EC3">
        <w:t>future agreements (see 9.11).</w:t>
      </w:r>
      <w:bookmarkStart w:id="22" w:name="_31qp158are10" w:colFirst="0" w:colLast="0"/>
      <w:bookmarkEnd w:id="22"/>
    </w:p>
    <w:p w14:paraId="2EE6CAA1" w14:textId="5D2851C3" w:rsidR="00FA7323" w:rsidRPr="00862489" w:rsidRDefault="008A0520" w:rsidP="005366D0">
      <w:pPr>
        <w:pStyle w:val="textenorme"/>
        <w:ind w:left="993" w:hanging="426"/>
      </w:pPr>
      <w:r w:rsidRPr="00862489">
        <w:lastRenderedPageBreak/>
        <w:t xml:space="preserve">1977 Treaty on </w:t>
      </w:r>
      <w:proofErr w:type="gramStart"/>
      <w:r w:rsidRPr="00862489">
        <w:t>microor</w:t>
      </w:r>
      <w:r w:rsidR="00093E6E" w:rsidRPr="00862489">
        <w:t>ganisms</w:t>
      </w:r>
      <w:proofErr w:type="gramEnd"/>
      <w:r w:rsidR="00093E6E" w:rsidRPr="00862489">
        <w:t xml:space="preserve"> patent procedure, art.</w:t>
      </w:r>
      <w:r w:rsidRPr="00862489">
        <w:t xml:space="preserve"> 15(1): “Any State member of the International (Paris) Union for the Protection of Industrial Property may become party to this Treaty [...]”</w:t>
      </w:r>
    </w:p>
    <w:p w14:paraId="5D8C7CD9" w14:textId="77777777" w:rsidR="00FA7323" w:rsidRPr="003C2BC9" w:rsidRDefault="00FA7323" w:rsidP="00364FB9">
      <w:pPr>
        <w:rPr>
          <w:rFonts w:ascii="Palatino Linotype" w:hAnsi="Palatino Linotype"/>
          <w:lang w:val="en-CA"/>
        </w:rPr>
      </w:pPr>
    </w:p>
    <w:p w14:paraId="13FE6D58" w14:textId="49172E5E" w:rsidR="007A2B30" w:rsidRPr="002D6EC3" w:rsidRDefault="007A2B30" w:rsidP="007A2B30">
      <w:pPr>
        <w:pStyle w:val="titresousnormedites"/>
      </w:pPr>
      <w:bookmarkStart w:id="23" w:name="_ornimyfdizqn" w:colFirst="0" w:colLast="0"/>
      <w:bookmarkStart w:id="24" w:name="_Toc484439254"/>
      <w:bookmarkStart w:id="25" w:name="_Toc501098484"/>
      <w:bookmarkStart w:id="26" w:name="_Toc503965822"/>
      <w:bookmarkEnd w:id="23"/>
      <w:r>
        <w:t>14.06</w:t>
      </w:r>
      <w:r w:rsidR="005366D0">
        <w:t>.02</w:t>
      </w:r>
      <w:r>
        <w:t xml:space="preserve"> </w:t>
      </w:r>
      <w:r w:rsidR="005366D0">
        <w:t xml:space="preserve">Trade </w:t>
      </w:r>
      <w:r w:rsidR="00837B82">
        <w:t>o</w:t>
      </w:r>
      <w:r w:rsidR="005366D0">
        <w:t xml:space="preserve">rganizations </w:t>
      </w:r>
      <w:r w:rsidR="00837B82">
        <w:t>as</w:t>
      </w:r>
      <w:r w:rsidR="005366D0">
        <w:t xml:space="preserve"> d</w:t>
      </w:r>
      <w:r w:rsidRPr="002D6EC3">
        <w:t xml:space="preserve">epositary </w:t>
      </w:r>
      <w:r w:rsidR="005366D0">
        <w:t>or</w:t>
      </w:r>
      <w:r w:rsidRPr="002D6EC3">
        <w:t xml:space="preserve"> </w:t>
      </w:r>
      <w:r w:rsidR="00837B82">
        <w:t xml:space="preserve">for </w:t>
      </w:r>
      <w:r w:rsidRPr="002D6EC3">
        <w:t>registration</w:t>
      </w:r>
      <w:bookmarkEnd w:id="24"/>
      <w:bookmarkEnd w:id="25"/>
      <w:bookmarkEnd w:id="26"/>
    </w:p>
    <w:p w14:paraId="22B5769A" w14:textId="77777777" w:rsidR="007A2B30" w:rsidRPr="002D6EC3" w:rsidRDefault="007A2B30" w:rsidP="007A2B30">
      <w:pPr>
        <w:pStyle w:val="textenorme"/>
        <w:ind w:left="993" w:hanging="426"/>
      </w:pPr>
      <w:r w:rsidRPr="002D6EC3">
        <w:t>Includes provisions selecting an organization as “depository” for the agreement, or instructing states to send ratifications</w:t>
      </w:r>
      <w:r>
        <w:t xml:space="preserve"> </w:t>
      </w:r>
      <w:r w:rsidRPr="002D6EC3">
        <w:t>/</w:t>
      </w:r>
      <w:r>
        <w:t xml:space="preserve"> </w:t>
      </w:r>
      <w:r w:rsidRPr="002D6EC3">
        <w:t>accessions</w:t>
      </w:r>
      <w:r>
        <w:t xml:space="preserve"> </w:t>
      </w:r>
      <w:r w:rsidRPr="002D6EC3">
        <w:t>/</w:t>
      </w:r>
      <w:r>
        <w:t xml:space="preserve"> </w:t>
      </w:r>
      <w:r w:rsidRPr="002D6EC3">
        <w:t>amendments</w:t>
      </w:r>
      <w:r>
        <w:t xml:space="preserve"> </w:t>
      </w:r>
      <w:r w:rsidRPr="002D6EC3">
        <w:t>/</w:t>
      </w:r>
      <w:r>
        <w:t xml:space="preserve"> </w:t>
      </w:r>
      <w:r w:rsidRPr="002D6EC3">
        <w:t xml:space="preserve">reservations to </w:t>
      </w:r>
      <w:r>
        <w:t xml:space="preserve">the </w:t>
      </w:r>
      <w:r w:rsidRPr="002D6EC3">
        <w:t>said organization.</w:t>
      </w:r>
    </w:p>
    <w:p w14:paraId="2693BD2D" w14:textId="77777777" w:rsidR="007A2B30" w:rsidRPr="002D6EC3" w:rsidRDefault="007A2B30" w:rsidP="007A2B30">
      <w:pPr>
        <w:pStyle w:val="textenorme"/>
        <w:ind w:left="993" w:hanging="426"/>
      </w:pPr>
      <w:r w:rsidRPr="002D6EC3">
        <w:t>Includes provisions defining the tasks</w:t>
      </w:r>
      <w:r>
        <w:t xml:space="preserve"> </w:t>
      </w:r>
      <w:r w:rsidRPr="002D6EC3">
        <w:t>/</w:t>
      </w:r>
      <w:r>
        <w:t xml:space="preserve"> </w:t>
      </w:r>
      <w:r w:rsidRPr="002D6EC3">
        <w:t>responsibilities of the depository, e.g. sending documents or copies of the agreement to member states and/or other organizations.</w:t>
      </w:r>
    </w:p>
    <w:p w14:paraId="23EAF5AC" w14:textId="77777777" w:rsidR="005366D0" w:rsidRDefault="007A2B30" w:rsidP="005366D0">
      <w:pPr>
        <w:pStyle w:val="textenorme"/>
        <w:ind w:left="993" w:hanging="426"/>
      </w:pPr>
      <w:r w:rsidRPr="002D6EC3">
        <w:t>Includes provisions regarding the registration of the agreement with organizations (e.g. regional organizations, FAO, UN).</w:t>
      </w:r>
    </w:p>
    <w:p w14:paraId="6780D5A9" w14:textId="54F3B170" w:rsidR="007A2B30" w:rsidRPr="002D6EC3" w:rsidRDefault="007A2B30" w:rsidP="005366D0">
      <w:pPr>
        <w:pStyle w:val="textenorme"/>
        <w:ind w:left="993" w:hanging="426"/>
      </w:pPr>
      <w:r w:rsidRPr="002D6EC3">
        <w:t>1977 Treaty on microor</w:t>
      </w:r>
      <w:r>
        <w:t>ganism patent procedure, art</w:t>
      </w:r>
      <w:r w:rsidRPr="002D6EC3">
        <w:t xml:space="preserve"> 19(1): “The original of this Treaty [...] shall be deposited with the Director General [of WIPO].”</w:t>
      </w:r>
    </w:p>
    <w:p w14:paraId="66143266" w14:textId="3E63B05C" w:rsidR="00FA7323" w:rsidRPr="006030F2" w:rsidRDefault="00FA7323" w:rsidP="006030F2">
      <w:pPr>
        <w:pStyle w:val="exemplenorme"/>
        <w:ind w:left="0"/>
        <w:rPr>
          <w:b/>
          <w:highlight w:val="white"/>
        </w:rPr>
      </w:pPr>
      <w:bookmarkStart w:id="27" w:name="_37e2qs1thsj" w:colFirst="0" w:colLast="0"/>
      <w:bookmarkStart w:id="28" w:name="_ffu1pl03i4p" w:colFirst="0" w:colLast="0"/>
      <w:bookmarkEnd w:id="27"/>
      <w:bookmarkEnd w:id="28"/>
    </w:p>
    <w:p w14:paraId="6031EEAC" w14:textId="0B3A2C85" w:rsidR="006030F2" w:rsidRPr="002D6EC3" w:rsidRDefault="005366D0" w:rsidP="006030F2">
      <w:pPr>
        <w:pStyle w:val="titresousnormedites"/>
      </w:pPr>
      <w:bookmarkStart w:id="29" w:name="_7bx0xvqfv3u2" w:colFirst="0" w:colLast="0"/>
      <w:bookmarkStart w:id="30" w:name="_Toc484439260"/>
      <w:bookmarkStart w:id="31" w:name="_Toc501098490"/>
      <w:bookmarkStart w:id="32" w:name="_Toc503965824"/>
      <w:bookmarkEnd w:id="29"/>
      <w:r>
        <w:t xml:space="preserve">14.07 </w:t>
      </w:r>
      <w:r w:rsidR="006030F2" w:rsidRPr="002D6EC3">
        <w:t xml:space="preserve">Other references to </w:t>
      </w:r>
      <w:r>
        <w:t>trade</w:t>
      </w:r>
      <w:r w:rsidR="006030F2" w:rsidRPr="002D6EC3">
        <w:t xml:space="preserve"> institutions</w:t>
      </w:r>
      <w:bookmarkEnd w:id="30"/>
      <w:bookmarkEnd w:id="31"/>
      <w:bookmarkEnd w:id="32"/>
    </w:p>
    <w:p w14:paraId="2A5AF95C" w14:textId="77777777" w:rsidR="006030F2" w:rsidRPr="002D6EC3" w:rsidRDefault="006030F2" w:rsidP="006030F2">
      <w:pPr>
        <w:pStyle w:val="textenorme"/>
        <w:ind w:left="993" w:hanging="426"/>
      </w:pPr>
      <w:bookmarkStart w:id="33" w:name="_24ufcor" w:colFirst="0" w:colLast="0"/>
      <w:bookmarkEnd w:id="33"/>
      <w:r w:rsidRPr="002D6EC3">
        <w:t xml:space="preserve">Excludes calls for cooperation, ratification, implementation and prevalence (see 14.01, 14.02, 14.03, 14.04, 14.05). </w:t>
      </w:r>
    </w:p>
    <w:p w14:paraId="18052D5D" w14:textId="6892B692" w:rsidR="006030F2" w:rsidRPr="002D6EC3" w:rsidRDefault="006030F2" w:rsidP="006030F2">
      <w:pPr>
        <w:pStyle w:val="textenorme"/>
        <w:ind w:left="993" w:hanging="426"/>
      </w:pPr>
      <w:r w:rsidRPr="002D6EC3">
        <w:t xml:space="preserve">A simple reference is the minimal requirement, including “Recalling X” in </w:t>
      </w:r>
      <w:r w:rsidR="00256D62">
        <w:t>preamble</w:t>
      </w:r>
      <w:r w:rsidRPr="002D6EC3">
        <w:t xml:space="preserve">. </w:t>
      </w:r>
    </w:p>
    <w:p w14:paraId="08EF7474" w14:textId="77777777" w:rsidR="006030F2" w:rsidRPr="002D6EC3" w:rsidRDefault="006030F2" w:rsidP="006030F2">
      <w:pPr>
        <w:ind w:left="1129"/>
        <w:rPr>
          <w:lang w:val="en-CA"/>
        </w:rPr>
      </w:pPr>
      <w:bookmarkStart w:id="34" w:name="_qiqr8h7k0fc4" w:colFirst="0" w:colLast="0"/>
      <w:bookmarkStart w:id="35" w:name="_73zqpg2u0o1" w:colFirst="0" w:colLast="0"/>
      <w:bookmarkStart w:id="36" w:name="_1j4nfs6" w:colFirst="0" w:colLast="0"/>
      <w:bookmarkEnd w:id="34"/>
      <w:bookmarkEnd w:id="35"/>
      <w:bookmarkEnd w:id="36"/>
    </w:p>
    <w:p w14:paraId="655333D8" w14:textId="77777777" w:rsidR="006030F2" w:rsidRPr="002D6EC3" w:rsidRDefault="006030F2" w:rsidP="006030F2">
      <w:pPr>
        <w:pStyle w:val="minimormedites"/>
        <w:ind w:firstLine="715"/>
      </w:pPr>
      <w:bookmarkStart w:id="37" w:name="_434ayfz" w:colFirst="0" w:colLast="0"/>
      <w:bookmarkEnd w:id="37"/>
      <w:r>
        <w:t xml:space="preserve">14.07.02.01 </w:t>
      </w:r>
      <w:r w:rsidRPr="002D6EC3">
        <w:t>Reference to GATT-WTO</w:t>
      </w:r>
    </w:p>
    <w:p w14:paraId="43F8DE07" w14:textId="77777777" w:rsidR="006030F2" w:rsidRPr="002D6EC3" w:rsidRDefault="006030F2" w:rsidP="006030F2">
      <w:pPr>
        <w:pStyle w:val="textemininorme"/>
        <w:ind w:left="1701" w:hanging="425"/>
        <w:rPr>
          <w:sz w:val="22"/>
        </w:rPr>
      </w:pPr>
      <w:bookmarkStart w:id="38" w:name="_hc51vj9lyw7" w:colFirst="0" w:colLast="0"/>
      <w:bookmarkEnd w:id="38"/>
      <w:r w:rsidRPr="002D6EC3">
        <w:t>Includes GATT and WTO agreements, e.g. SPS and TBT agreements.</w:t>
      </w:r>
    </w:p>
    <w:p w14:paraId="3D6A9659" w14:textId="77777777" w:rsidR="006030F2" w:rsidRPr="002D6EC3" w:rsidRDefault="006030F2" w:rsidP="006030F2">
      <w:pPr>
        <w:pStyle w:val="textemininorme"/>
        <w:ind w:left="1701" w:hanging="425"/>
        <w:rPr>
          <w:sz w:val="22"/>
        </w:rPr>
      </w:pPr>
      <w:bookmarkStart w:id="39" w:name="_2i9l8ns" w:colFirst="0" w:colLast="0"/>
      <w:bookmarkEnd w:id="39"/>
      <w:r w:rsidRPr="002D6EC3">
        <w:t>Includes trade negotiation rounds, e.g. Uruguay Round.</w:t>
      </w:r>
    </w:p>
    <w:p w14:paraId="3D16AC13" w14:textId="77777777" w:rsidR="006030F2" w:rsidRPr="00D05E3C" w:rsidRDefault="006030F2" w:rsidP="006030F2">
      <w:pPr>
        <w:pStyle w:val="Sansinterligne"/>
        <w:ind w:left="1701"/>
        <w:rPr>
          <w:lang w:val="en-CA"/>
        </w:rPr>
      </w:pPr>
      <w:bookmarkStart w:id="40" w:name="_nm5bcmmnd8kk" w:colFirst="0" w:colLast="0"/>
      <w:bookmarkEnd w:id="40"/>
      <w:r w:rsidRPr="00D05E3C">
        <w:rPr>
          <w:lang w:val="en-CA"/>
        </w:rPr>
        <w:t>1994 Energy Charter Treaty, preamble: “Having regard to the objective of progressive liberalization of international trade [...] as enunciated in the General Agreement on Tariffs and Trade and its Related Instruments”</w:t>
      </w:r>
    </w:p>
    <w:p w14:paraId="29D42347" w14:textId="77777777" w:rsidR="006030F2" w:rsidRPr="002D6EC3" w:rsidRDefault="006030F2" w:rsidP="006030F2">
      <w:pPr>
        <w:rPr>
          <w:lang w:val="en-CA"/>
        </w:rPr>
      </w:pPr>
    </w:p>
    <w:p w14:paraId="4A5A347B" w14:textId="77777777" w:rsidR="006030F2" w:rsidRPr="002D6EC3" w:rsidRDefault="006030F2" w:rsidP="006030F2">
      <w:pPr>
        <w:pStyle w:val="minimormedites"/>
        <w:ind w:firstLine="715"/>
      </w:pPr>
      <w:bookmarkStart w:id="41" w:name="_xevivl" w:colFirst="0" w:colLast="0"/>
      <w:bookmarkEnd w:id="41"/>
      <w:r>
        <w:t xml:space="preserve">14.07.02.02 </w:t>
      </w:r>
      <w:r w:rsidRPr="002D6EC3">
        <w:t>Reference to UNCTAD</w:t>
      </w:r>
    </w:p>
    <w:p w14:paraId="019C3CC9" w14:textId="77777777" w:rsidR="006030F2" w:rsidRPr="00D05E3C" w:rsidRDefault="006030F2" w:rsidP="006030F2">
      <w:pPr>
        <w:pStyle w:val="Sansinterligne"/>
        <w:ind w:left="1701"/>
        <w:rPr>
          <w:lang w:val="en-CA"/>
        </w:rPr>
      </w:pPr>
      <w:bookmarkStart w:id="42" w:name="_k7jz7nycoel" w:colFirst="0" w:colLast="0"/>
      <w:bookmarkEnd w:id="42"/>
      <w:r w:rsidRPr="00D05E3C">
        <w:rPr>
          <w:lang w:val="en-CA"/>
        </w:rPr>
        <w:t>1983 International Tropical Timber Agreement, preamble: “Recalling resolutions 93(IV) and 124(V) on the Integrated Programme for Commodities adopted by the UN Conference on Trade and Development at its fourth and fifth sessions”</w:t>
      </w:r>
    </w:p>
    <w:p w14:paraId="61D4A649" w14:textId="77777777" w:rsidR="006030F2" w:rsidRPr="002D6EC3" w:rsidRDefault="006030F2" w:rsidP="006030F2">
      <w:pPr>
        <w:rPr>
          <w:lang w:val="en-CA"/>
        </w:rPr>
      </w:pPr>
    </w:p>
    <w:p w14:paraId="35FC325C" w14:textId="1C0F73C9" w:rsidR="006030F2" w:rsidRPr="002D6EC3" w:rsidRDefault="006030F2" w:rsidP="006030F2">
      <w:pPr>
        <w:pStyle w:val="minimormedites"/>
        <w:ind w:firstLine="715"/>
      </w:pPr>
      <w:bookmarkStart w:id="43" w:name="_3hej1je" w:colFirst="0" w:colLast="0"/>
      <w:bookmarkEnd w:id="43"/>
      <w:r>
        <w:t xml:space="preserve">14.07.02.03 </w:t>
      </w:r>
      <w:r w:rsidRPr="002D6EC3">
        <w:t xml:space="preserve">Reference to </w:t>
      </w:r>
      <w:r w:rsidR="00256D62">
        <w:t xml:space="preserve">a </w:t>
      </w:r>
      <w:r w:rsidR="00256D62" w:rsidRPr="002D6EC3">
        <w:t>preferential trade agreement</w:t>
      </w:r>
    </w:p>
    <w:p w14:paraId="4A8CED62" w14:textId="4EF63404" w:rsidR="006030F2" w:rsidRPr="00BE4F6E" w:rsidRDefault="00256D62" w:rsidP="006030F2">
      <w:pPr>
        <w:pStyle w:val="textemininorme"/>
        <w:ind w:left="1701" w:hanging="425"/>
      </w:pPr>
      <w:bookmarkStart w:id="44" w:name="_71t66bsrrdy6" w:colFirst="0" w:colLast="0"/>
      <w:bookmarkStart w:id="45" w:name="_1wjtbr7" w:colFirst="0" w:colLast="0"/>
      <w:bookmarkEnd w:id="44"/>
      <w:bookmarkEnd w:id="45"/>
      <w:r>
        <w:t xml:space="preserve">PTAs include </w:t>
      </w:r>
      <w:r w:rsidR="006030F2" w:rsidRPr="00BF63D0">
        <w:t>E</w:t>
      </w:r>
      <w:r w:rsidR="006030F2">
        <w:t>uropean Union (and other references to</w:t>
      </w:r>
      <w:r w:rsidR="006030F2" w:rsidRPr="00BF63D0">
        <w:t xml:space="preserve"> EEC, EEA,</w:t>
      </w:r>
      <w:r w:rsidR="006030F2">
        <w:t xml:space="preserve"> etc.),</w:t>
      </w:r>
      <w:r w:rsidR="006030F2" w:rsidRPr="00BF63D0">
        <w:t xml:space="preserve"> EFTA</w:t>
      </w:r>
      <w:r w:rsidR="006030F2">
        <w:t xml:space="preserve">, NAFTA, CARICOM, Mercosur, Lomé and Cotonou Conventions, etc. </w:t>
      </w:r>
    </w:p>
    <w:p w14:paraId="1B7B9508" w14:textId="77777777" w:rsidR="006030F2" w:rsidRPr="00BE4F6E" w:rsidRDefault="006030F2" w:rsidP="006030F2">
      <w:pPr>
        <w:pStyle w:val="textemininorme"/>
        <w:ind w:left="1701" w:hanging="425"/>
      </w:pPr>
      <w:r w:rsidRPr="002D6EC3">
        <w:t xml:space="preserve">“Regional economic integration organizations” are </w:t>
      </w:r>
      <w:r>
        <w:t xml:space="preserve">also </w:t>
      </w:r>
      <w:r w:rsidRPr="002D6EC3">
        <w:t xml:space="preserve">considered as PTAs. </w:t>
      </w:r>
    </w:p>
    <w:p w14:paraId="6F1111DF" w14:textId="563661C8" w:rsidR="006030F2" w:rsidRPr="00BE4F6E" w:rsidRDefault="006030F2" w:rsidP="006030F2">
      <w:pPr>
        <w:pStyle w:val="textemininorme"/>
        <w:ind w:left="1701" w:hanging="425"/>
      </w:pPr>
      <w:r>
        <w:t xml:space="preserve">Excludes agreements on commercial cooperation or investments </w:t>
      </w:r>
    </w:p>
    <w:p w14:paraId="7CE77A2A" w14:textId="77777777" w:rsidR="006030F2" w:rsidRPr="00D05E3C" w:rsidRDefault="006030F2" w:rsidP="006030F2">
      <w:pPr>
        <w:pStyle w:val="Sansinterligne"/>
        <w:ind w:left="1701"/>
        <w:rPr>
          <w:lang w:val="en-CA"/>
        </w:rPr>
      </w:pPr>
      <w:bookmarkStart w:id="46" w:name="_5ibw99r390na" w:colFirst="0" w:colLast="0"/>
      <w:bookmarkEnd w:id="46"/>
      <w:r w:rsidRPr="00D05E3C">
        <w:rPr>
          <w:lang w:val="en-CA"/>
        </w:rPr>
        <w:t xml:space="preserve">1979 EC-Senegal Fishing Agreement, preamble: “In the spirit of cooperation resulting from the Lomé Convention [...]” </w:t>
      </w:r>
    </w:p>
    <w:p w14:paraId="57469BA9" w14:textId="77777777" w:rsidR="006030F2" w:rsidRPr="002D6EC3" w:rsidRDefault="006030F2" w:rsidP="006030F2">
      <w:pPr>
        <w:rPr>
          <w:lang w:val="en-CA"/>
        </w:rPr>
      </w:pPr>
    </w:p>
    <w:p w14:paraId="4ACE8CB8" w14:textId="77777777" w:rsidR="006030F2" w:rsidRPr="002D6EC3" w:rsidRDefault="006030F2" w:rsidP="006030F2">
      <w:pPr>
        <w:pStyle w:val="minimormedites"/>
        <w:ind w:firstLine="715"/>
      </w:pPr>
      <w:bookmarkStart w:id="47" w:name="_4gjguf0" w:colFirst="0" w:colLast="0"/>
      <w:bookmarkEnd w:id="47"/>
      <w:r>
        <w:t xml:space="preserve">14.07.02.04 </w:t>
      </w:r>
      <w:r w:rsidRPr="002D6EC3">
        <w:t>Reference to other trade institutions</w:t>
      </w:r>
    </w:p>
    <w:p w14:paraId="70F93F04" w14:textId="77777777" w:rsidR="006030F2" w:rsidRPr="00BE4F6E" w:rsidRDefault="006030F2" w:rsidP="006030F2">
      <w:pPr>
        <w:pStyle w:val="textemininorme"/>
        <w:ind w:left="1701" w:hanging="425"/>
      </w:pPr>
      <w:r w:rsidRPr="00BE4F6E">
        <w:t>Includes references to commercia</w:t>
      </w:r>
      <w:r>
        <w:t>l bilateral agreements between P</w:t>
      </w:r>
      <w:r w:rsidRPr="00BE4F6E">
        <w:t>arties that are not free trade agreements or PTAs, for example treaties on investments or intellectual property.</w:t>
      </w:r>
    </w:p>
    <w:p w14:paraId="7D130CDF" w14:textId="77777777" w:rsidR="00256D62" w:rsidRDefault="00EE3515" w:rsidP="00256D62">
      <w:pPr>
        <w:pStyle w:val="textemininorme"/>
        <w:ind w:left="1701" w:hanging="425"/>
      </w:pPr>
      <w:r>
        <w:t>e.g.</w:t>
      </w:r>
      <w:r w:rsidR="006030F2" w:rsidRPr="00BE4F6E">
        <w:t xml:space="preserve"> WIPO, UNCITRAL.</w:t>
      </w:r>
      <w:bookmarkStart w:id="48" w:name="_mj023xw1uvx3" w:colFirst="0" w:colLast="0"/>
      <w:bookmarkEnd w:id="48"/>
    </w:p>
    <w:p w14:paraId="15886924" w14:textId="4E2F0657" w:rsidR="00FA7323" w:rsidRPr="00256D62" w:rsidRDefault="006030F2" w:rsidP="00256D62">
      <w:pPr>
        <w:pStyle w:val="textemininorme"/>
        <w:ind w:left="1701" w:hanging="425"/>
      </w:pPr>
      <w:r w:rsidRPr="00256D62">
        <w:t xml:space="preserve">2004 Russia-Canada Agreement on cooperation for the destruction of chemical </w:t>
      </w:r>
      <w:r w:rsidRPr="00256D62">
        <w:lastRenderedPageBreak/>
        <w:t xml:space="preserve">weapons, art </w:t>
      </w:r>
      <w:proofErr w:type="gramStart"/>
      <w:r w:rsidRPr="00256D62">
        <w:t>XII(</w:t>
      </w:r>
      <w:proofErr w:type="gramEnd"/>
      <w:r w:rsidRPr="00256D62">
        <w:t>1): “The term "intellectual property" shall have the meaning found in Article 2 of the Convention Establishing the World Intellectual Property Organization, which was signed in Stockholm on July 14, 1967.”</w:t>
      </w:r>
      <w:bookmarkStart w:id="49" w:name="_3utoxif" w:colFirst="0" w:colLast="0"/>
      <w:bookmarkStart w:id="50" w:name="_488uthg" w:colFirst="0" w:colLast="0"/>
      <w:bookmarkStart w:id="51" w:name="_44i0hqb13w9y" w:colFirst="0" w:colLast="0"/>
      <w:bookmarkStart w:id="52" w:name="_6c67tjj704f7" w:colFirst="0" w:colLast="0"/>
      <w:bookmarkStart w:id="53" w:name="_6fz51uuldh4" w:colFirst="0" w:colLast="0"/>
      <w:bookmarkEnd w:id="49"/>
      <w:bookmarkEnd w:id="50"/>
      <w:bookmarkEnd w:id="51"/>
      <w:bookmarkEnd w:id="52"/>
      <w:bookmarkEnd w:id="53"/>
    </w:p>
    <w:sectPr w:rsidR="00FA7323" w:rsidRPr="00256D62" w:rsidSect="00B31ED7">
      <w:footerReference w:type="default" r:id="rId9"/>
      <w:footerReference w:type="first" r:id="rId10"/>
      <w:pgSz w:w="12240" w:h="15840"/>
      <w:pgMar w:top="1440" w:right="1800" w:bottom="1440" w:left="180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B6CA" w14:textId="77777777" w:rsidR="00064988" w:rsidRDefault="00064988">
      <w:r>
        <w:separator/>
      </w:r>
    </w:p>
  </w:endnote>
  <w:endnote w:type="continuationSeparator" w:id="0">
    <w:p w14:paraId="365419BE" w14:textId="77777777" w:rsidR="00064988" w:rsidRDefault="0006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Lucida Grande">
    <w:altName w:val="Times New Roman"/>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E940" w14:textId="77777777" w:rsidR="00FA57CB" w:rsidRDefault="00FA57CB">
    <w:pPr>
      <w:tabs>
        <w:tab w:val="center" w:pos="4536"/>
        <w:tab w:val="right" w:pos="9072"/>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E9F9" w14:textId="77777777" w:rsidR="00FA57CB" w:rsidRDefault="00FA57CB">
    <w:pPr>
      <w:tabs>
        <w:tab w:val="center" w:pos="4536"/>
        <w:tab w:val="right" w:pos="9072"/>
      </w:tabs>
      <w:spacing w:after="720"/>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F16D7" w14:textId="77777777" w:rsidR="00064988" w:rsidRDefault="00064988">
      <w:r>
        <w:separator/>
      </w:r>
    </w:p>
  </w:footnote>
  <w:footnote w:type="continuationSeparator" w:id="0">
    <w:p w14:paraId="64A0F44C" w14:textId="77777777" w:rsidR="00064988" w:rsidRDefault="00064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CC4"/>
    <w:multiLevelType w:val="multilevel"/>
    <w:tmpl w:val="00E22378"/>
    <w:lvl w:ilvl="0">
      <w:start w:val="1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08F975BB"/>
    <w:multiLevelType w:val="multilevel"/>
    <w:tmpl w:val="69205D4E"/>
    <w:lvl w:ilvl="0">
      <w:start w:val="1"/>
      <w:numFmt w:val="decimal"/>
      <w:pStyle w:val="titrenorme"/>
      <w:lvlText w:val="%1."/>
      <w:lvlJc w:val="left"/>
      <w:pPr>
        <w:ind w:left="720" w:hanging="360"/>
      </w:pPr>
      <w:rPr>
        <w:rFonts w:hint="default"/>
      </w:rPr>
    </w:lvl>
    <w:lvl w:ilvl="1">
      <w:start w:val="7"/>
      <w:numFmt w:val="decimalZero"/>
      <w:isLgl/>
      <w:lvlText w:val="%1.%2"/>
      <w:lvlJc w:val="left"/>
      <w:pPr>
        <w:ind w:left="960" w:hanging="600"/>
      </w:pPr>
      <w:rPr>
        <w:rFonts w:hint="default"/>
      </w:rPr>
    </w:lvl>
    <w:lvl w:ilvl="2">
      <w:start w:val="3"/>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632995"/>
    <w:multiLevelType w:val="multilevel"/>
    <w:tmpl w:val="922664D8"/>
    <w:lvl w:ilvl="0">
      <w:start w:val="1"/>
      <w:numFmt w:val="bullet"/>
      <w:lvlText w:val=""/>
      <w:lvlJc w:val="left"/>
      <w:pPr>
        <w:ind w:left="2160" w:firstLine="1800"/>
      </w:pPr>
      <w:rPr>
        <w:rFonts w:ascii="Wingdings" w:hAnsi="Wingdings" w:hint="default"/>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26B8248C"/>
    <w:multiLevelType w:val="multilevel"/>
    <w:tmpl w:val="77CEB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A814CA3"/>
    <w:multiLevelType w:val="multilevel"/>
    <w:tmpl w:val="7F682BFE"/>
    <w:lvl w:ilvl="0">
      <w:start w:val="1"/>
      <w:numFmt w:val="bullet"/>
      <w:lvlText w:val=""/>
      <w:lvlJc w:val="left"/>
      <w:pPr>
        <w:ind w:left="1440" w:firstLine="1080"/>
      </w:pPr>
      <w:rPr>
        <w:rFonts w:ascii="Wingdings" w:hAnsi="Wingdings"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40C6F8D"/>
    <w:multiLevelType w:val="multilevel"/>
    <w:tmpl w:val="CE9CC216"/>
    <w:lvl w:ilvl="0">
      <w:start w:val="1"/>
      <w:numFmt w:val="bullet"/>
      <w:lvlText w:val=""/>
      <w:lvlJc w:val="left"/>
      <w:pPr>
        <w:ind w:left="1068" w:firstLine="1776"/>
      </w:pPr>
      <w:rPr>
        <w:rFonts w:ascii="Wingdings" w:hAnsi="Wingdings" w:hint="default"/>
        <w:sz w:val="22"/>
        <w:szCs w:val="22"/>
      </w:rPr>
    </w:lvl>
    <w:lvl w:ilvl="1">
      <w:start w:val="1"/>
      <w:numFmt w:val="bullet"/>
      <w:lvlText w:val="○"/>
      <w:lvlJc w:val="left"/>
      <w:pPr>
        <w:ind w:left="1788" w:firstLine="3216"/>
      </w:pPr>
      <w:rPr>
        <w:rFonts w:ascii="Arial" w:eastAsia="Arial" w:hAnsi="Arial" w:cs="Arial"/>
      </w:rPr>
    </w:lvl>
    <w:lvl w:ilvl="2">
      <w:start w:val="1"/>
      <w:numFmt w:val="bullet"/>
      <w:lvlText w:val="■"/>
      <w:lvlJc w:val="left"/>
      <w:pPr>
        <w:ind w:left="2508" w:firstLine="4656"/>
      </w:pPr>
      <w:rPr>
        <w:rFonts w:ascii="Arial" w:eastAsia="Arial" w:hAnsi="Arial" w:cs="Arial"/>
      </w:rPr>
    </w:lvl>
    <w:lvl w:ilvl="3">
      <w:start w:val="1"/>
      <w:numFmt w:val="bullet"/>
      <w:lvlText w:val="●"/>
      <w:lvlJc w:val="left"/>
      <w:pPr>
        <w:ind w:left="3228" w:firstLine="6096"/>
      </w:pPr>
      <w:rPr>
        <w:rFonts w:ascii="Arial" w:eastAsia="Arial" w:hAnsi="Arial" w:cs="Arial"/>
      </w:rPr>
    </w:lvl>
    <w:lvl w:ilvl="4">
      <w:start w:val="1"/>
      <w:numFmt w:val="bullet"/>
      <w:lvlText w:val="○"/>
      <w:lvlJc w:val="left"/>
      <w:pPr>
        <w:ind w:left="3948" w:firstLine="7536"/>
      </w:pPr>
      <w:rPr>
        <w:rFonts w:ascii="Arial" w:eastAsia="Arial" w:hAnsi="Arial" w:cs="Arial"/>
      </w:rPr>
    </w:lvl>
    <w:lvl w:ilvl="5">
      <w:start w:val="1"/>
      <w:numFmt w:val="bullet"/>
      <w:lvlText w:val="■"/>
      <w:lvlJc w:val="left"/>
      <w:pPr>
        <w:ind w:left="4668" w:firstLine="8976"/>
      </w:pPr>
      <w:rPr>
        <w:rFonts w:ascii="Arial" w:eastAsia="Arial" w:hAnsi="Arial" w:cs="Arial"/>
      </w:rPr>
    </w:lvl>
    <w:lvl w:ilvl="6">
      <w:start w:val="1"/>
      <w:numFmt w:val="bullet"/>
      <w:lvlText w:val="●"/>
      <w:lvlJc w:val="left"/>
      <w:pPr>
        <w:ind w:left="5388" w:firstLine="10416"/>
      </w:pPr>
      <w:rPr>
        <w:rFonts w:ascii="Arial" w:eastAsia="Arial" w:hAnsi="Arial" w:cs="Arial"/>
      </w:rPr>
    </w:lvl>
    <w:lvl w:ilvl="7">
      <w:start w:val="1"/>
      <w:numFmt w:val="bullet"/>
      <w:lvlText w:val="○"/>
      <w:lvlJc w:val="left"/>
      <w:pPr>
        <w:ind w:left="6108" w:firstLine="11856"/>
      </w:pPr>
      <w:rPr>
        <w:rFonts w:ascii="Arial" w:eastAsia="Arial" w:hAnsi="Arial" w:cs="Arial"/>
      </w:rPr>
    </w:lvl>
    <w:lvl w:ilvl="8">
      <w:start w:val="1"/>
      <w:numFmt w:val="bullet"/>
      <w:lvlText w:val="■"/>
      <w:lvlJc w:val="left"/>
      <w:pPr>
        <w:ind w:left="6828" w:firstLine="13296"/>
      </w:pPr>
      <w:rPr>
        <w:rFonts w:ascii="Arial" w:eastAsia="Arial" w:hAnsi="Arial" w:cs="Arial"/>
      </w:rPr>
    </w:lvl>
  </w:abstractNum>
  <w:abstractNum w:abstractNumId="6" w15:restartNumberingAfterBreak="0">
    <w:nsid w:val="3AC43444"/>
    <w:multiLevelType w:val="multilevel"/>
    <w:tmpl w:val="B9E41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33517D1"/>
    <w:multiLevelType w:val="multilevel"/>
    <w:tmpl w:val="E8B87F1A"/>
    <w:lvl w:ilvl="0">
      <w:start w:val="14"/>
      <w:numFmt w:val="decimal"/>
      <w:lvlText w:val="%1"/>
      <w:lvlJc w:val="left"/>
      <w:pPr>
        <w:ind w:left="720" w:hanging="720"/>
      </w:pPr>
      <w:rPr>
        <w:rFonts w:hint="default"/>
      </w:rPr>
    </w:lvl>
    <w:lvl w:ilvl="1">
      <w:start w:val="1"/>
      <w:numFmt w:val="decimalZero"/>
      <w:lvlText w:val="%1.%2"/>
      <w:lvlJc w:val="left"/>
      <w:pPr>
        <w:ind w:left="1003" w:hanging="720"/>
      </w:pPr>
      <w:rPr>
        <w:rFonts w:hint="default"/>
      </w:rPr>
    </w:lvl>
    <w:lvl w:ilvl="2">
      <w:start w:val="2"/>
      <w:numFmt w:val="decimalZero"/>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63EA4E5C"/>
    <w:multiLevelType w:val="hybridMultilevel"/>
    <w:tmpl w:val="701A34F8"/>
    <w:lvl w:ilvl="0" w:tplc="F82C36D2">
      <w:start w:val="2"/>
      <w:numFmt w:val="bullet"/>
      <w:lvlText w:val="-"/>
      <w:lvlJc w:val="left"/>
      <w:pPr>
        <w:ind w:left="720" w:hanging="360"/>
      </w:pPr>
      <w:rPr>
        <w:rFonts w:ascii="Palatino" w:eastAsia="Calibri" w:hAnsi="Palatino"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FA73227"/>
    <w:multiLevelType w:val="hybridMultilevel"/>
    <w:tmpl w:val="9B7C9314"/>
    <w:lvl w:ilvl="0" w:tplc="1A78B21E">
      <w:start w:val="1"/>
      <w:numFmt w:val="bullet"/>
      <w:pStyle w:val="textemininorme"/>
      <w:lvlText w:val=""/>
      <w:lvlJc w:val="left"/>
      <w:pPr>
        <w:ind w:left="1080" w:hanging="360"/>
      </w:pPr>
      <w:rPr>
        <w:rFonts w:ascii="Wingdings" w:hAnsi="Wingdings" w:hint="default"/>
        <w:sz w:val="2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70874CCB"/>
    <w:multiLevelType w:val="multilevel"/>
    <w:tmpl w:val="68E81E56"/>
    <w:lvl w:ilvl="0">
      <w:start w:val="1"/>
      <w:numFmt w:val="bullet"/>
      <w:lvlText w:val=""/>
      <w:lvlJc w:val="left"/>
      <w:pPr>
        <w:ind w:left="1331" w:firstLine="1080"/>
      </w:pPr>
      <w:rPr>
        <w:rFonts w:ascii="Wingdings" w:hAnsi="Wingdings" w:hint="default"/>
      </w:rPr>
    </w:lvl>
    <w:lvl w:ilvl="1">
      <w:start w:val="1"/>
      <w:numFmt w:val="bullet"/>
      <w:lvlText w:val="○"/>
      <w:lvlJc w:val="left"/>
      <w:pPr>
        <w:ind w:left="2051" w:firstLine="2520"/>
      </w:pPr>
      <w:rPr>
        <w:rFonts w:ascii="Arial" w:eastAsia="Arial" w:hAnsi="Arial" w:cs="Arial"/>
      </w:rPr>
    </w:lvl>
    <w:lvl w:ilvl="2">
      <w:start w:val="1"/>
      <w:numFmt w:val="bullet"/>
      <w:lvlText w:val="■"/>
      <w:lvlJc w:val="left"/>
      <w:pPr>
        <w:ind w:left="2771" w:firstLine="3960"/>
      </w:pPr>
      <w:rPr>
        <w:rFonts w:ascii="Arial" w:eastAsia="Arial" w:hAnsi="Arial" w:cs="Arial"/>
      </w:rPr>
    </w:lvl>
    <w:lvl w:ilvl="3">
      <w:start w:val="1"/>
      <w:numFmt w:val="bullet"/>
      <w:lvlText w:val="●"/>
      <w:lvlJc w:val="left"/>
      <w:pPr>
        <w:ind w:left="3491" w:firstLine="5400"/>
      </w:pPr>
      <w:rPr>
        <w:rFonts w:ascii="Arial" w:eastAsia="Arial" w:hAnsi="Arial" w:cs="Arial"/>
      </w:rPr>
    </w:lvl>
    <w:lvl w:ilvl="4">
      <w:start w:val="1"/>
      <w:numFmt w:val="bullet"/>
      <w:lvlText w:val="○"/>
      <w:lvlJc w:val="left"/>
      <w:pPr>
        <w:ind w:left="4211" w:firstLine="6840"/>
      </w:pPr>
      <w:rPr>
        <w:rFonts w:ascii="Arial" w:eastAsia="Arial" w:hAnsi="Arial" w:cs="Arial"/>
      </w:rPr>
    </w:lvl>
    <w:lvl w:ilvl="5">
      <w:start w:val="1"/>
      <w:numFmt w:val="bullet"/>
      <w:lvlText w:val="■"/>
      <w:lvlJc w:val="left"/>
      <w:pPr>
        <w:ind w:left="4931" w:firstLine="8280"/>
      </w:pPr>
      <w:rPr>
        <w:rFonts w:ascii="Arial" w:eastAsia="Arial" w:hAnsi="Arial" w:cs="Arial"/>
      </w:rPr>
    </w:lvl>
    <w:lvl w:ilvl="6">
      <w:start w:val="1"/>
      <w:numFmt w:val="bullet"/>
      <w:lvlText w:val="●"/>
      <w:lvlJc w:val="left"/>
      <w:pPr>
        <w:ind w:left="5651" w:firstLine="9720"/>
      </w:pPr>
      <w:rPr>
        <w:rFonts w:ascii="Arial" w:eastAsia="Arial" w:hAnsi="Arial" w:cs="Arial"/>
      </w:rPr>
    </w:lvl>
    <w:lvl w:ilvl="7">
      <w:start w:val="1"/>
      <w:numFmt w:val="bullet"/>
      <w:lvlText w:val="○"/>
      <w:lvlJc w:val="left"/>
      <w:pPr>
        <w:ind w:left="6371" w:firstLine="11160"/>
      </w:pPr>
      <w:rPr>
        <w:rFonts w:ascii="Arial" w:eastAsia="Arial" w:hAnsi="Arial" w:cs="Arial"/>
      </w:rPr>
    </w:lvl>
    <w:lvl w:ilvl="8">
      <w:start w:val="1"/>
      <w:numFmt w:val="bullet"/>
      <w:lvlText w:val="■"/>
      <w:lvlJc w:val="left"/>
      <w:pPr>
        <w:ind w:left="7091" w:firstLine="12600"/>
      </w:pPr>
      <w:rPr>
        <w:rFonts w:ascii="Arial" w:eastAsia="Arial" w:hAnsi="Arial" w:cs="Arial"/>
      </w:rPr>
    </w:lvl>
  </w:abstractNum>
  <w:abstractNum w:abstractNumId="11" w15:restartNumberingAfterBreak="0">
    <w:nsid w:val="71AE7D65"/>
    <w:multiLevelType w:val="multilevel"/>
    <w:tmpl w:val="76A046CC"/>
    <w:lvl w:ilvl="0">
      <w:start w:val="1"/>
      <w:numFmt w:val="bullet"/>
      <w:lvlText w:val=""/>
      <w:lvlJc w:val="left"/>
      <w:pPr>
        <w:ind w:left="3600" w:firstLine="3240"/>
      </w:pPr>
      <w:rPr>
        <w:rFonts w:ascii="Wingdings" w:hAnsi="Wingdings" w:hint="default"/>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2" w15:restartNumberingAfterBreak="0">
    <w:nsid w:val="7FC90C4D"/>
    <w:multiLevelType w:val="hybridMultilevel"/>
    <w:tmpl w:val="E39A1D4C"/>
    <w:lvl w:ilvl="0" w:tplc="86481896">
      <w:start w:val="1"/>
      <w:numFmt w:val="bullet"/>
      <w:pStyle w:val="textenorme"/>
      <w:lvlText w:val=""/>
      <w:lvlJc w:val="left"/>
      <w:pPr>
        <w:ind w:left="720" w:hanging="360"/>
      </w:pPr>
      <w:rPr>
        <w:rFonts w:ascii="Wingdings" w:hAnsi="Wingdings" w:hint="default"/>
        <w:sz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4"/>
  </w:num>
  <w:num w:numId="6">
    <w:abstractNumId w:val="10"/>
  </w:num>
  <w:num w:numId="7">
    <w:abstractNumId w:val="1"/>
  </w:num>
  <w:num w:numId="8">
    <w:abstractNumId w:val="12"/>
  </w:num>
  <w:num w:numId="9">
    <w:abstractNumId w:val="9"/>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3"/>
  </w:num>
  <w:num w:numId="25">
    <w:abstractNumId w:val="2"/>
  </w:num>
  <w:num w:numId="26">
    <w:abstractNumId w:val="8"/>
  </w:num>
  <w:num w:numId="27">
    <w:abstractNumId w:val="12"/>
  </w:num>
  <w:num w:numId="28">
    <w:abstractNumId w:val="7"/>
  </w:num>
  <w:num w:numId="29">
    <w:abstractNumId w:val="9"/>
  </w:num>
  <w:num w:numId="30">
    <w:abstractNumId w:val="9"/>
  </w:num>
  <w:num w:numId="31">
    <w:abstractNumId w:val="9"/>
  </w:num>
  <w:num w:numId="32">
    <w:abstractNumId w:val="12"/>
  </w:num>
  <w:num w:numId="33">
    <w:abstractNumId w:val="9"/>
  </w:num>
  <w:num w:numId="34">
    <w:abstractNumId w:val="12"/>
  </w:num>
  <w:num w:numId="35">
    <w:abstractNumId w:val="12"/>
  </w:num>
  <w:num w:numId="36">
    <w:abstractNumId w:val="12"/>
  </w:num>
  <w:num w:numId="37">
    <w:abstractNumId w:val="12"/>
  </w:num>
  <w:num w:numId="38">
    <w:abstractNumId w:val="9"/>
  </w:num>
  <w:num w:numId="39">
    <w:abstractNumId w:val="9"/>
  </w:num>
  <w:num w:numId="40">
    <w:abstractNumId w:val="9"/>
  </w:num>
  <w:num w:numId="41">
    <w:abstractNumId w:val="9"/>
  </w:num>
  <w:num w:numId="4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23"/>
    <w:rsid w:val="0006136E"/>
    <w:rsid w:val="00064988"/>
    <w:rsid w:val="000751C9"/>
    <w:rsid w:val="000903C7"/>
    <w:rsid w:val="00093E6E"/>
    <w:rsid w:val="000B0152"/>
    <w:rsid w:val="000C39CC"/>
    <w:rsid w:val="000F093B"/>
    <w:rsid w:val="001204DC"/>
    <w:rsid w:val="0013144C"/>
    <w:rsid w:val="00135553"/>
    <w:rsid w:val="00160937"/>
    <w:rsid w:val="00183A68"/>
    <w:rsid w:val="001B1BB2"/>
    <w:rsid w:val="001B44B2"/>
    <w:rsid w:val="001F517A"/>
    <w:rsid w:val="002251A2"/>
    <w:rsid w:val="00242456"/>
    <w:rsid w:val="00256D62"/>
    <w:rsid w:val="002A2EC6"/>
    <w:rsid w:val="002E517C"/>
    <w:rsid w:val="003105CA"/>
    <w:rsid w:val="0033227E"/>
    <w:rsid w:val="003351FF"/>
    <w:rsid w:val="00350FF9"/>
    <w:rsid w:val="00362DF9"/>
    <w:rsid w:val="00364FB9"/>
    <w:rsid w:val="003715B6"/>
    <w:rsid w:val="00374D24"/>
    <w:rsid w:val="00381604"/>
    <w:rsid w:val="003B2366"/>
    <w:rsid w:val="003C2BC9"/>
    <w:rsid w:val="003F492F"/>
    <w:rsid w:val="00407F74"/>
    <w:rsid w:val="00413D30"/>
    <w:rsid w:val="00414309"/>
    <w:rsid w:val="0042441E"/>
    <w:rsid w:val="00481BDB"/>
    <w:rsid w:val="004D18B6"/>
    <w:rsid w:val="004D1D6E"/>
    <w:rsid w:val="00500E1B"/>
    <w:rsid w:val="00510DCA"/>
    <w:rsid w:val="005366D0"/>
    <w:rsid w:val="00555220"/>
    <w:rsid w:val="00594639"/>
    <w:rsid w:val="00597908"/>
    <w:rsid w:val="005C56C8"/>
    <w:rsid w:val="00602179"/>
    <w:rsid w:val="006030F2"/>
    <w:rsid w:val="00607480"/>
    <w:rsid w:val="00612ED2"/>
    <w:rsid w:val="0062641A"/>
    <w:rsid w:val="00635B28"/>
    <w:rsid w:val="00644565"/>
    <w:rsid w:val="00682B86"/>
    <w:rsid w:val="006A5F15"/>
    <w:rsid w:val="006D23BB"/>
    <w:rsid w:val="006F7CD9"/>
    <w:rsid w:val="00722807"/>
    <w:rsid w:val="00727406"/>
    <w:rsid w:val="00733333"/>
    <w:rsid w:val="00745616"/>
    <w:rsid w:val="007465D1"/>
    <w:rsid w:val="0075474F"/>
    <w:rsid w:val="00780115"/>
    <w:rsid w:val="007811A2"/>
    <w:rsid w:val="007A2B30"/>
    <w:rsid w:val="007E558C"/>
    <w:rsid w:val="007E75C2"/>
    <w:rsid w:val="007F0201"/>
    <w:rsid w:val="007F5F2C"/>
    <w:rsid w:val="008177BF"/>
    <w:rsid w:val="00834DFD"/>
    <w:rsid w:val="00837B82"/>
    <w:rsid w:val="008423E2"/>
    <w:rsid w:val="00862489"/>
    <w:rsid w:val="00871D12"/>
    <w:rsid w:val="008A0520"/>
    <w:rsid w:val="008A512B"/>
    <w:rsid w:val="008E5EB3"/>
    <w:rsid w:val="008F76AF"/>
    <w:rsid w:val="00907468"/>
    <w:rsid w:val="009A5786"/>
    <w:rsid w:val="009B2D4E"/>
    <w:rsid w:val="009D41AF"/>
    <w:rsid w:val="009E18C0"/>
    <w:rsid w:val="009F0B61"/>
    <w:rsid w:val="00A00DED"/>
    <w:rsid w:val="00A40688"/>
    <w:rsid w:val="00A77E40"/>
    <w:rsid w:val="00AC3F02"/>
    <w:rsid w:val="00AF7006"/>
    <w:rsid w:val="00B0405E"/>
    <w:rsid w:val="00B137AB"/>
    <w:rsid w:val="00B27B7B"/>
    <w:rsid w:val="00B30E09"/>
    <w:rsid w:val="00B31ED7"/>
    <w:rsid w:val="00B577F0"/>
    <w:rsid w:val="00B60E47"/>
    <w:rsid w:val="00BB5C57"/>
    <w:rsid w:val="00BC5996"/>
    <w:rsid w:val="00C16344"/>
    <w:rsid w:val="00C3454A"/>
    <w:rsid w:val="00C40535"/>
    <w:rsid w:val="00C4347F"/>
    <w:rsid w:val="00C72DD4"/>
    <w:rsid w:val="00C73913"/>
    <w:rsid w:val="00C814E3"/>
    <w:rsid w:val="00CA100E"/>
    <w:rsid w:val="00CA2267"/>
    <w:rsid w:val="00CA546E"/>
    <w:rsid w:val="00CC30F4"/>
    <w:rsid w:val="00CE20CD"/>
    <w:rsid w:val="00CF27FB"/>
    <w:rsid w:val="00CF3470"/>
    <w:rsid w:val="00D25B0C"/>
    <w:rsid w:val="00D42456"/>
    <w:rsid w:val="00D63FA1"/>
    <w:rsid w:val="00DB460E"/>
    <w:rsid w:val="00DD167E"/>
    <w:rsid w:val="00DD364D"/>
    <w:rsid w:val="00E04B29"/>
    <w:rsid w:val="00E51444"/>
    <w:rsid w:val="00E621A1"/>
    <w:rsid w:val="00E80A22"/>
    <w:rsid w:val="00EE0699"/>
    <w:rsid w:val="00EE3515"/>
    <w:rsid w:val="00F55A17"/>
    <w:rsid w:val="00F86507"/>
    <w:rsid w:val="00F943FE"/>
    <w:rsid w:val="00FA3362"/>
    <w:rsid w:val="00FA57CB"/>
    <w:rsid w:val="00FA732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CE8E5"/>
  <w15:docId w15:val="{C843E5D2-89C8-4613-B95B-3B900852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fr-CA" w:eastAsia="fr-CA" w:bidi="ar-SA"/>
      </w:rPr>
    </w:rPrDefault>
    <w:pPrDefaul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contextualSpacing/>
      <w:outlineLvl w:val="0"/>
    </w:pPr>
    <w:rPr>
      <w:b/>
      <w:sz w:val="36"/>
      <w:szCs w:val="36"/>
    </w:rPr>
  </w:style>
  <w:style w:type="paragraph" w:styleId="Titre2">
    <w:name w:val="heading 2"/>
    <w:basedOn w:val="Normal"/>
    <w:next w:val="Normal"/>
    <w:pPr>
      <w:keepNext/>
      <w:keepLines/>
      <w:tabs>
        <w:tab w:val="clear" w:pos="1134"/>
        <w:tab w:val="left" w:pos="1129"/>
      </w:tabs>
      <w:contextualSpacing/>
      <w:outlineLvl w:val="1"/>
    </w:pPr>
    <w:rPr>
      <w:b/>
    </w:rPr>
  </w:style>
  <w:style w:type="paragraph" w:styleId="Titre3">
    <w:name w:val="heading 3"/>
    <w:basedOn w:val="Normal"/>
    <w:next w:val="Normal"/>
    <w:pPr>
      <w:keepNext/>
      <w:keepLines/>
      <w:tabs>
        <w:tab w:val="left" w:pos="559"/>
      </w:tabs>
      <w:ind w:firstLine="720"/>
      <w:contextualSpacing/>
      <w:outlineLvl w:val="2"/>
    </w:pPr>
    <w:rPr>
      <w:b/>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contextualSpacing/>
    </w:pPr>
    <w:rPr>
      <w:b/>
      <w:sz w:val="36"/>
      <w:szCs w:val="36"/>
    </w:rPr>
  </w:style>
  <w:style w:type="paragraph" w:styleId="Sous-titre">
    <w:name w:val="Subtitle"/>
    <w:basedOn w:val="Normal"/>
    <w:next w:val="Normal"/>
    <w:pPr>
      <w:keepNext/>
      <w:keepLines/>
      <w:tabs>
        <w:tab w:val="clear" w:pos="1134"/>
        <w:tab w:val="left" w:pos="1129"/>
      </w:tabs>
      <w:contextualSpacing/>
    </w:pPr>
    <w:rPr>
      <w:b/>
    </w:rPr>
  </w:style>
  <w:style w:type="paragraph" w:styleId="TM1">
    <w:name w:val="toc 1"/>
    <w:basedOn w:val="Normal"/>
    <w:next w:val="Normal"/>
    <w:autoRedefine/>
    <w:uiPriority w:val="39"/>
    <w:unhideWhenUsed/>
    <w:rsid w:val="008A052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pPr>
  </w:style>
  <w:style w:type="paragraph" w:styleId="TM2">
    <w:name w:val="toc 2"/>
    <w:basedOn w:val="Normal"/>
    <w:next w:val="Normal"/>
    <w:autoRedefine/>
    <w:uiPriority w:val="39"/>
    <w:unhideWhenUsed/>
    <w:rsid w:val="008A052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ind w:left="240"/>
    </w:pPr>
  </w:style>
  <w:style w:type="paragraph" w:styleId="TM3">
    <w:name w:val="toc 3"/>
    <w:basedOn w:val="Normal"/>
    <w:next w:val="Normal"/>
    <w:autoRedefine/>
    <w:uiPriority w:val="39"/>
    <w:unhideWhenUsed/>
    <w:rsid w:val="008A052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ind w:left="480"/>
    </w:pPr>
  </w:style>
  <w:style w:type="character" w:styleId="Lienhypertexte">
    <w:name w:val="Hyperlink"/>
    <w:basedOn w:val="Policepardfaut"/>
    <w:uiPriority w:val="99"/>
    <w:unhideWhenUsed/>
    <w:rsid w:val="008A0520"/>
    <w:rPr>
      <w:color w:val="0563C1" w:themeColor="hyperlink"/>
      <w:u w:val="single"/>
    </w:rPr>
  </w:style>
  <w:style w:type="paragraph" w:styleId="Paragraphedeliste">
    <w:name w:val="List Paragraph"/>
    <w:basedOn w:val="Normal"/>
    <w:uiPriority w:val="34"/>
    <w:qFormat/>
    <w:rsid w:val="00381604"/>
    <w:pPr>
      <w:ind w:left="720"/>
      <w:contextualSpacing/>
    </w:pPr>
  </w:style>
  <w:style w:type="paragraph" w:styleId="TM4">
    <w:name w:val="toc 4"/>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660"/>
    </w:pPr>
    <w:rPr>
      <w:rFonts w:asciiTheme="minorHAnsi" w:eastAsiaTheme="minorEastAsia" w:hAnsiTheme="minorHAnsi" w:cstheme="minorBidi"/>
      <w:color w:val="auto"/>
      <w:sz w:val="22"/>
      <w:szCs w:val="22"/>
    </w:rPr>
  </w:style>
  <w:style w:type="paragraph" w:styleId="TM5">
    <w:name w:val="toc 5"/>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880"/>
    </w:pPr>
    <w:rPr>
      <w:rFonts w:asciiTheme="minorHAnsi" w:eastAsiaTheme="minorEastAsia" w:hAnsiTheme="minorHAnsi" w:cstheme="minorBidi"/>
      <w:color w:val="auto"/>
      <w:sz w:val="22"/>
      <w:szCs w:val="22"/>
    </w:rPr>
  </w:style>
  <w:style w:type="paragraph" w:styleId="TM6">
    <w:name w:val="toc 6"/>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1100"/>
    </w:pPr>
    <w:rPr>
      <w:rFonts w:asciiTheme="minorHAnsi" w:eastAsiaTheme="minorEastAsia" w:hAnsiTheme="minorHAnsi" w:cstheme="minorBidi"/>
      <w:color w:val="auto"/>
      <w:sz w:val="22"/>
      <w:szCs w:val="22"/>
    </w:rPr>
  </w:style>
  <w:style w:type="paragraph" w:styleId="TM7">
    <w:name w:val="toc 7"/>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1320"/>
    </w:pPr>
    <w:rPr>
      <w:rFonts w:asciiTheme="minorHAnsi" w:eastAsiaTheme="minorEastAsia" w:hAnsiTheme="minorHAnsi" w:cstheme="minorBidi"/>
      <w:color w:val="auto"/>
      <w:sz w:val="22"/>
      <w:szCs w:val="22"/>
    </w:rPr>
  </w:style>
  <w:style w:type="paragraph" w:styleId="TM8">
    <w:name w:val="toc 8"/>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1540"/>
    </w:pPr>
    <w:rPr>
      <w:rFonts w:asciiTheme="minorHAnsi" w:eastAsiaTheme="minorEastAsia" w:hAnsiTheme="minorHAnsi" w:cstheme="minorBidi"/>
      <w:color w:val="auto"/>
      <w:sz w:val="22"/>
      <w:szCs w:val="22"/>
    </w:rPr>
  </w:style>
  <w:style w:type="paragraph" w:styleId="TM9">
    <w:name w:val="toc 9"/>
    <w:basedOn w:val="Normal"/>
    <w:next w:val="Normal"/>
    <w:autoRedefine/>
    <w:uiPriority w:val="39"/>
    <w:unhideWhenUsed/>
    <w:rsid w:val="00CF3470"/>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00" w:line="259" w:lineRule="auto"/>
      <w:ind w:left="1760"/>
    </w:pPr>
    <w:rPr>
      <w:rFonts w:asciiTheme="minorHAnsi" w:eastAsiaTheme="minorEastAsia" w:hAnsiTheme="minorHAnsi" w:cstheme="minorBidi"/>
      <w:color w:val="auto"/>
      <w:sz w:val="22"/>
      <w:szCs w:val="22"/>
    </w:rPr>
  </w:style>
  <w:style w:type="paragraph" w:styleId="Textedebulles">
    <w:name w:val="Balloon Text"/>
    <w:basedOn w:val="Normal"/>
    <w:link w:val="TextedebullesCar"/>
    <w:uiPriority w:val="99"/>
    <w:semiHidden/>
    <w:unhideWhenUsed/>
    <w:rsid w:val="003715B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15B6"/>
    <w:rPr>
      <w:rFonts w:ascii="Lucida Grande" w:hAnsi="Lucida Grande" w:cs="Lucida Grande"/>
      <w:sz w:val="18"/>
      <w:szCs w:val="18"/>
    </w:rPr>
  </w:style>
  <w:style w:type="paragraph" w:styleId="En-tte">
    <w:name w:val="header"/>
    <w:basedOn w:val="Normal"/>
    <w:link w:val="En-tteCar"/>
    <w:uiPriority w:val="99"/>
    <w:unhideWhenUsed/>
    <w:rsid w:val="004D18B6"/>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8640"/>
      </w:tabs>
    </w:pPr>
  </w:style>
  <w:style w:type="character" w:customStyle="1" w:styleId="En-tteCar">
    <w:name w:val="En-tête Car"/>
    <w:basedOn w:val="Policepardfaut"/>
    <w:link w:val="En-tte"/>
    <w:uiPriority w:val="99"/>
    <w:rsid w:val="004D18B6"/>
  </w:style>
  <w:style w:type="paragraph" w:styleId="Pieddepage">
    <w:name w:val="footer"/>
    <w:basedOn w:val="Normal"/>
    <w:link w:val="PieddepageCar"/>
    <w:uiPriority w:val="99"/>
    <w:unhideWhenUsed/>
    <w:rsid w:val="004D18B6"/>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8640"/>
      </w:tabs>
    </w:pPr>
  </w:style>
  <w:style w:type="character" w:customStyle="1" w:styleId="PieddepageCar">
    <w:name w:val="Pied de page Car"/>
    <w:basedOn w:val="Policepardfaut"/>
    <w:link w:val="Pieddepage"/>
    <w:uiPriority w:val="99"/>
    <w:rsid w:val="004D18B6"/>
  </w:style>
  <w:style w:type="paragraph" w:customStyle="1" w:styleId="exemplenorme">
    <w:name w:val="exemple norme"/>
    <w:basedOn w:val="Normal"/>
    <w:link w:val="exemplenormeCar"/>
    <w:qFormat/>
    <w:rsid w:val="00733333"/>
    <w:pPr>
      <w:widowControl/>
      <w:autoSpaceDE w:val="0"/>
      <w:autoSpaceDN w:val="0"/>
      <w:adjustRightInd w:val="0"/>
      <w:ind w:left="360"/>
      <w:contextualSpacing/>
      <w:jc w:val="both"/>
    </w:pPr>
    <w:rPr>
      <w:rFonts w:ascii="Palatino Linotype" w:eastAsiaTheme="minorHAnsi" w:hAnsi="Palatino Linotype"/>
      <w:i/>
      <w:sz w:val="20"/>
      <w:lang w:val="en-US" w:eastAsia="en-US"/>
    </w:rPr>
  </w:style>
  <w:style w:type="character" w:customStyle="1" w:styleId="exemplenormeCar">
    <w:name w:val="exemple norme Car"/>
    <w:basedOn w:val="Policepardfaut"/>
    <w:link w:val="exemplenorme"/>
    <w:rsid w:val="00733333"/>
    <w:rPr>
      <w:rFonts w:ascii="Palatino Linotype" w:eastAsiaTheme="minorHAnsi" w:hAnsi="Palatino Linotype"/>
      <w:i/>
      <w:sz w:val="20"/>
      <w:lang w:val="en-US" w:eastAsia="en-US"/>
    </w:rPr>
  </w:style>
  <w:style w:type="paragraph" w:customStyle="1" w:styleId="textenorme">
    <w:name w:val="texte norme"/>
    <w:basedOn w:val="Normal"/>
    <w:link w:val="textenormeCar"/>
    <w:qFormat/>
    <w:rsid w:val="00733333"/>
    <w:pPr>
      <w:widowControl/>
      <w:numPr>
        <w:numId w:val="8"/>
      </w:numPr>
      <w:tabs>
        <w:tab w:val="left" w:pos="0"/>
      </w:tabs>
      <w:autoSpaceDE w:val="0"/>
      <w:autoSpaceDN w:val="0"/>
      <w:adjustRightInd w:val="0"/>
      <w:contextualSpacing/>
      <w:jc w:val="both"/>
    </w:pPr>
    <w:rPr>
      <w:rFonts w:ascii="Palatino Linotype" w:eastAsiaTheme="minorHAnsi" w:hAnsi="Palatino Linotype"/>
      <w:color w:val="000000" w:themeColor="text1"/>
      <w:sz w:val="20"/>
      <w:lang w:val="en-US" w:eastAsia="en-US"/>
    </w:rPr>
  </w:style>
  <w:style w:type="character" w:customStyle="1" w:styleId="textenormeCar">
    <w:name w:val="texte norme Car"/>
    <w:basedOn w:val="Policepardfaut"/>
    <w:link w:val="textenorme"/>
    <w:rsid w:val="00733333"/>
    <w:rPr>
      <w:rFonts w:ascii="Palatino Linotype" w:eastAsiaTheme="minorHAnsi" w:hAnsi="Palatino Linotype"/>
      <w:color w:val="000000" w:themeColor="text1"/>
      <w:sz w:val="20"/>
      <w:lang w:val="en-US" w:eastAsia="en-US"/>
    </w:rPr>
  </w:style>
  <w:style w:type="paragraph" w:customStyle="1" w:styleId="titrenorme">
    <w:name w:val="titre norme"/>
    <w:basedOn w:val="Normal"/>
    <w:link w:val="titrenormeCar"/>
    <w:qFormat/>
    <w:rsid w:val="00733333"/>
    <w:pPr>
      <w:widowControl/>
      <w:numPr>
        <w:numId w:val="7"/>
      </w:numPr>
      <w:autoSpaceDE w:val="0"/>
      <w:autoSpaceDN w:val="0"/>
      <w:adjustRightInd w:val="0"/>
      <w:ind w:left="0" w:hanging="567"/>
      <w:contextualSpacing/>
      <w:jc w:val="both"/>
      <w:outlineLvl w:val="0"/>
    </w:pPr>
    <w:rPr>
      <w:rFonts w:ascii="Palatino" w:eastAsiaTheme="minorHAnsi" w:hAnsi="Palatino"/>
      <w:b/>
      <w:color w:val="000000" w:themeColor="text1"/>
      <w:sz w:val="28"/>
      <w:lang w:val="en-CA" w:eastAsia="en-US"/>
    </w:rPr>
  </w:style>
  <w:style w:type="character" w:customStyle="1" w:styleId="titrenormeCar">
    <w:name w:val="titre norme Car"/>
    <w:basedOn w:val="Policepardfaut"/>
    <w:link w:val="titrenorme"/>
    <w:rsid w:val="00733333"/>
    <w:rPr>
      <w:rFonts w:ascii="Palatino" w:eastAsiaTheme="minorHAnsi" w:hAnsi="Palatino"/>
      <w:b/>
      <w:color w:val="000000" w:themeColor="text1"/>
      <w:sz w:val="28"/>
      <w:lang w:val="en-CA" w:eastAsia="en-US"/>
    </w:rPr>
  </w:style>
  <w:style w:type="paragraph" w:customStyle="1" w:styleId="introduction">
    <w:name w:val="introduction"/>
    <w:basedOn w:val="Normal"/>
    <w:link w:val="introductionCar"/>
    <w:qFormat/>
    <w:rsid w:val="00733333"/>
    <w:pPr>
      <w:widowControl/>
      <w:autoSpaceDE w:val="0"/>
      <w:autoSpaceDN w:val="0"/>
      <w:adjustRightInd w:val="0"/>
      <w:jc w:val="both"/>
    </w:pPr>
    <w:rPr>
      <w:rFonts w:ascii="Palatino" w:eastAsia="Calibri" w:hAnsi="Palatino"/>
      <w:sz w:val="20"/>
      <w:szCs w:val="32"/>
      <w:lang w:val="en-CA" w:eastAsia="en-US"/>
    </w:rPr>
  </w:style>
  <w:style w:type="character" w:customStyle="1" w:styleId="introductionCar">
    <w:name w:val="introduction Car"/>
    <w:basedOn w:val="Policepardfaut"/>
    <w:link w:val="introduction"/>
    <w:rsid w:val="00733333"/>
    <w:rPr>
      <w:rFonts w:ascii="Palatino" w:eastAsia="Calibri" w:hAnsi="Palatino"/>
      <w:sz w:val="20"/>
      <w:szCs w:val="32"/>
      <w:lang w:val="en-CA" w:eastAsia="en-US"/>
    </w:rPr>
  </w:style>
  <w:style w:type="paragraph" w:customStyle="1" w:styleId="titresousnormedites">
    <w:name w:val="titre sous norme dites"/>
    <w:basedOn w:val="Normal"/>
    <w:link w:val="titresousnormeditesCar"/>
    <w:autoRedefine/>
    <w:qFormat/>
    <w:rsid w:val="00733333"/>
    <w:pPr>
      <w:widowControl/>
      <w:autoSpaceDE w:val="0"/>
      <w:autoSpaceDN w:val="0"/>
      <w:adjustRightInd w:val="0"/>
      <w:contextualSpacing/>
      <w:jc w:val="both"/>
      <w:outlineLvl w:val="1"/>
    </w:pPr>
    <w:rPr>
      <w:rFonts w:ascii="Palatino" w:eastAsiaTheme="minorHAnsi" w:hAnsi="Palatino"/>
      <w:b/>
      <w:sz w:val="22"/>
      <w:szCs w:val="20"/>
      <w:lang w:val="en-CA" w:eastAsia="en-US"/>
    </w:rPr>
  </w:style>
  <w:style w:type="character" w:customStyle="1" w:styleId="titresousnormeditesCar">
    <w:name w:val="titre sous norme dites Car"/>
    <w:basedOn w:val="Policepardfaut"/>
    <w:link w:val="titresousnormedites"/>
    <w:rsid w:val="00733333"/>
    <w:rPr>
      <w:rFonts w:ascii="Palatino" w:eastAsiaTheme="minorHAnsi" w:hAnsi="Palatino"/>
      <w:b/>
      <w:sz w:val="22"/>
      <w:szCs w:val="20"/>
      <w:lang w:val="en-CA" w:eastAsia="en-US"/>
    </w:rPr>
  </w:style>
  <w:style w:type="paragraph" w:customStyle="1" w:styleId="titresoussousnormedites">
    <w:name w:val="titre sous sous norme dites"/>
    <w:basedOn w:val="Normal"/>
    <w:link w:val="titresoussousnormeditesCar"/>
    <w:qFormat/>
    <w:rsid w:val="006F7CD9"/>
    <w:pPr>
      <w:keepNext/>
      <w:keepLines/>
      <w:tabs>
        <w:tab w:val="left" w:pos="559"/>
      </w:tabs>
      <w:outlineLvl w:val="2"/>
    </w:pPr>
    <w:rPr>
      <w:rFonts w:ascii="Palatino Linotype" w:hAnsi="Palatino Linotype"/>
      <w:b/>
      <w:sz w:val="20"/>
      <w:lang w:val="en-CA"/>
    </w:rPr>
  </w:style>
  <w:style w:type="character" w:customStyle="1" w:styleId="titresoussousnormeditesCar">
    <w:name w:val="titre sous sous norme dites Car"/>
    <w:basedOn w:val="Policepardfaut"/>
    <w:link w:val="titresoussousnormedites"/>
    <w:rsid w:val="006F7CD9"/>
    <w:rPr>
      <w:rFonts w:ascii="Palatino Linotype" w:hAnsi="Palatino Linotype"/>
      <w:b/>
      <w:sz w:val="20"/>
      <w:lang w:val="en-CA"/>
    </w:rPr>
  </w:style>
  <w:style w:type="paragraph" w:customStyle="1" w:styleId="textemininorme">
    <w:name w:val="texte mini norme"/>
    <w:basedOn w:val="Normal"/>
    <w:next w:val="Normal"/>
    <w:link w:val="textemininormeCar"/>
    <w:qFormat/>
    <w:rsid w:val="00B137AB"/>
    <w:pPr>
      <w:numPr>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val="0"/>
      <w:autoSpaceDN w:val="0"/>
      <w:adjustRightInd w:val="0"/>
      <w:jc w:val="both"/>
    </w:pPr>
    <w:rPr>
      <w:rFonts w:ascii="Palatino Linotype" w:eastAsiaTheme="minorHAnsi" w:hAnsi="Palatino Linotype" w:cs="Arial"/>
      <w:color w:val="auto"/>
      <w:sz w:val="20"/>
      <w:lang w:val="en-CA" w:eastAsia="en-US"/>
    </w:rPr>
  </w:style>
  <w:style w:type="character" w:customStyle="1" w:styleId="textemininormeCar">
    <w:name w:val="texte mini norme Car"/>
    <w:basedOn w:val="Policepardfaut"/>
    <w:link w:val="textemininorme"/>
    <w:rsid w:val="00B137AB"/>
    <w:rPr>
      <w:rFonts w:ascii="Palatino Linotype" w:eastAsiaTheme="minorHAnsi" w:hAnsi="Palatino Linotype" w:cs="Arial"/>
      <w:color w:val="auto"/>
      <w:sz w:val="20"/>
      <w:lang w:val="en-CA" w:eastAsia="en-US"/>
    </w:rPr>
  </w:style>
  <w:style w:type="paragraph" w:customStyle="1" w:styleId="minimormedites">
    <w:name w:val="mini morme dites"/>
    <w:basedOn w:val="titresoussousnormedites"/>
    <w:link w:val="minimormeditesCar"/>
    <w:qFormat/>
    <w:rsid w:val="00B137AB"/>
    <w:pPr>
      <w:ind w:left="561"/>
      <w:outlineLvl w:val="3"/>
    </w:pPr>
  </w:style>
  <w:style w:type="character" w:customStyle="1" w:styleId="minimormeditesCar">
    <w:name w:val="mini morme dites Car"/>
    <w:basedOn w:val="titresoussousnormeditesCar"/>
    <w:link w:val="minimormedites"/>
    <w:rsid w:val="00B137AB"/>
    <w:rPr>
      <w:rFonts w:ascii="Palatino Linotype" w:hAnsi="Palatino Linotype"/>
      <w:b/>
      <w:sz w:val="20"/>
      <w:lang w:val="en-CA"/>
    </w:rPr>
  </w:style>
  <w:style w:type="paragraph" w:styleId="Sansinterligne">
    <w:name w:val="No Spacing"/>
    <w:aliases w:val="exemple mn"/>
    <w:basedOn w:val="Normal"/>
    <w:uiPriority w:val="1"/>
    <w:qFormat/>
    <w:rsid w:val="00B137AB"/>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567"/>
      </w:tabs>
      <w:autoSpaceDE w:val="0"/>
      <w:autoSpaceDN w:val="0"/>
      <w:adjustRightInd w:val="0"/>
      <w:ind w:left="907"/>
      <w:jc w:val="both"/>
    </w:pPr>
    <w:rPr>
      <w:rFonts w:ascii="Palatino Linotype" w:eastAsiaTheme="minorHAnsi" w:hAnsi="Palatino Linotype" w:cs="Arial"/>
      <w:i/>
      <w:color w:val="auto"/>
      <w:sz w:val="20"/>
      <w:lang w:eastAsia="en-US"/>
    </w:rPr>
  </w:style>
  <w:style w:type="paragraph" w:customStyle="1" w:styleId="Titrenorme0">
    <w:name w:val="Titre norme"/>
    <w:basedOn w:val="titrenorme"/>
    <w:link w:val="TitrenormeCar0"/>
    <w:qFormat/>
    <w:rsid w:val="00414309"/>
    <w:pPr>
      <w:numPr>
        <w:numId w:val="0"/>
      </w:numPr>
    </w:pPr>
  </w:style>
  <w:style w:type="character" w:customStyle="1" w:styleId="TitrenormeCar0">
    <w:name w:val="Titre norme Car"/>
    <w:basedOn w:val="titrenormeCar"/>
    <w:link w:val="Titrenorme0"/>
    <w:rsid w:val="00414309"/>
    <w:rPr>
      <w:rFonts w:ascii="Palatino" w:eastAsiaTheme="minorHAnsi" w:hAnsi="Palatino"/>
      <w:b/>
      <w:color w:val="000000" w:themeColor="text1"/>
      <w:sz w:val="28"/>
      <w:lang w:val="en-CA" w:eastAsia="en-US"/>
    </w:rPr>
  </w:style>
  <w:style w:type="paragraph" w:styleId="En-ttedetabledesmatires">
    <w:name w:val="TOC Heading"/>
    <w:basedOn w:val="Titre1"/>
    <w:next w:val="Normal"/>
    <w:uiPriority w:val="39"/>
    <w:unhideWhenUsed/>
    <w:qFormat/>
    <w:rsid w:val="00780115"/>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aire-epi.ulaval.ca/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FA69-5371-46C5-B6AD-96C68A74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1779</Words>
  <Characters>9790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Myriam Rochette</dc:creator>
  <cp:lastModifiedBy>Jean-Frédéric Morin</cp:lastModifiedBy>
  <cp:revision>49</cp:revision>
  <dcterms:created xsi:type="dcterms:W3CDTF">2017-06-08T15:41:00Z</dcterms:created>
  <dcterms:modified xsi:type="dcterms:W3CDTF">2021-03-02T16:25:00Z</dcterms:modified>
</cp:coreProperties>
</file>